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28"/>
          <w:szCs w:val="28"/>
        </w:rPr>
      </w:pPr>
      <w:r>
        <w:rPr>
          <w:rFonts w:hint="eastAsia" w:ascii="黑体" w:hAnsi="黑体" w:eastAsia="黑体"/>
          <w:sz w:val="28"/>
          <w:szCs w:val="28"/>
        </w:rPr>
        <w:t>肇庆学院精细化工专业人才培养方案</w:t>
      </w:r>
    </w:p>
    <w:p>
      <w:pPr>
        <w:spacing w:line="560" w:lineRule="exact"/>
        <w:jc w:val="center"/>
        <w:rPr>
          <w:rFonts w:ascii="黑体" w:hAnsi="黑体" w:eastAsia="黑体"/>
          <w:color w:val="000000"/>
          <w:sz w:val="28"/>
          <w:szCs w:val="28"/>
        </w:rPr>
      </w:pPr>
      <w:r>
        <w:rPr>
          <w:rFonts w:hint="eastAsia" w:ascii="黑体" w:hAnsi="黑体" w:eastAsia="黑体"/>
          <w:color w:val="000000"/>
          <w:sz w:val="28"/>
          <w:szCs w:val="28"/>
        </w:rPr>
        <w:t>（专业代码：</w:t>
      </w:r>
      <w:r>
        <w:rPr>
          <w:rFonts w:ascii="Times New Roman" w:hAnsi="Times New Roman" w:eastAsia="黑体"/>
          <w:sz w:val="28"/>
          <w:szCs w:val="28"/>
        </w:rPr>
        <w:t>081308T</w:t>
      </w:r>
      <w:r>
        <w:rPr>
          <w:rFonts w:hint="eastAsia" w:ascii="黑体" w:hAnsi="黑体" w:eastAsia="黑体"/>
          <w:color w:val="000000"/>
          <w:sz w:val="28"/>
          <w:szCs w:val="28"/>
        </w:rPr>
        <w:t>）</w:t>
      </w: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一、培养目标</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专业旨在培养德、智、体、美、劳全面发展，具有家国情怀、社会责任感、职业道德、良好的现代科学素质、创新精神、团队精神和实践能力，适应国家精细化学工业及其与其它学科交叉衍生出的相关新兴领域（如新型功能电子材料及新能源材料等）经济建设的需求，能够在相关的行业从事研发、设计、生产、质检品控及经营管理等方面工作的应用型高素质复合人才。</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预计本专业毕业生毕业后5年达到以下目标：</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1、能解决精细化工领域的复杂工程、前沿技术、企业管理或社会管理中的问题，成为具有独立分析能力和创新能力的研究人员、工程师或管理者，适应独立和团队工作环境；</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2、以重要的法律、伦理、监管、社会、环境、工业安全和经济等方面宽广的系统视角管理多学科的项目；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3、在快速变革的全球经济和技术环境中，具有较强的学习主动性和创新意识，努力成为本学科高水准新兴技术的引领者；</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4、在终身学习、专业发展和领导能力上表现出担当和进步，在精细化工等领域具有职场竞争力。</w:t>
      </w: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二、毕业要求</w:t>
      </w:r>
    </w:p>
    <w:p>
      <w:pPr>
        <w:pStyle w:val="4"/>
        <w:spacing w:line="360" w:lineRule="auto"/>
        <w:ind w:firstLine="456" w:firstLineChars="19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本专业的学生主要学习精细化工及与其它学科交叉衍生出的相关新兴领域的基本原理、基本方法及工程应用方面的专业知识，以及相应领域的工程技术实践和科学研究等多方面的综合训练，本专业毕业生应具备以下方面的知识、能力与技能： </w:t>
      </w:r>
    </w:p>
    <w:p>
      <w:pPr>
        <w:adjustRightInd w:val="0"/>
        <w:spacing w:line="360" w:lineRule="auto"/>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1、工程知识：能够将数学、自然科学、工程基础和专业知识用于解决精细化工领域的复杂工程问题。</w:t>
      </w:r>
    </w:p>
    <w:p>
      <w:pPr>
        <w:adjustRightInd w:val="0"/>
        <w:spacing w:line="360" w:lineRule="auto"/>
        <w:ind w:left="48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能将数学、自然科学、工程科学的语言工具用于精细化工工程问题的表述；</w:t>
      </w:r>
    </w:p>
    <w:p>
      <w:pPr>
        <w:adjustRightInd w:val="0"/>
        <w:spacing w:line="360" w:lineRule="auto"/>
        <w:ind w:left="48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能针对具体的对象建立数学模型并求解；</w:t>
      </w:r>
    </w:p>
    <w:p>
      <w:pPr>
        <w:adjustRightInd w:val="0"/>
        <w:spacing w:line="360" w:lineRule="auto"/>
        <w:ind w:left="48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能够将相关知识和数学模型方法用于推演、分析精细化工专业工程问题；</w:t>
      </w:r>
    </w:p>
    <w:p>
      <w:pPr>
        <w:adjustRightInd w:val="0"/>
        <w:spacing w:line="360" w:lineRule="auto"/>
        <w:ind w:left="48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能够将相关知识和数学模型方法用于精细化工专业工程问题解决方案的比较与综合。</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问题分析：能够应用数学、自然科学和工程科学的基本原理，识别、表达、并通过文献研究分析精细化工领域的复杂工程问题，以获得有效结论。</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能运用相关科学原理，识别和判断精细化工领域的复杂工程问题的关键环节；</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能基于相关科学原理和数学模型方法正确表达精细化工领域的复杂工程问题；</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能认识到解决精细化工领域的问题有多种方案可选择，会通过文献研究寻求可替代的解决方案；</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能运用基本原理，借助文献研究，分析过程的影响因素，获得有效结论。</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开发解决方案：能够设计针对精细化工领域的复杂工程问题的解决方案，设计满足特定需求的系统、单元（部件）或工艺流程，并能够在设计环节中体现创新意识，考虑社会、健康、安全、法律、文化以及环境等因素。</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掌握精细化工领域的工程设计和产品开发全周期、全流程的基本设计/开发方法和技术，了解影响设计目标和技术方案的各种因素；</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能够针对特定需求，完成单元（部件）的设计；</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能够进行精细化工领域的工艺流程设计，在设计中体现创新意识；</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 在精细化工领域的设计中能够考虑安全、健康、法律、文化及环境等制约因素。</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研究：能够基于科学原理并采用科学方法对精细化工领域的复杂工程问题进行研究，包括设计实验、分析与解释数据、并通过信息综合得到合理有效的结论。</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能够基于科学原理，通过文献研究或相关方法，调研和分析精细化工领域的复杂工程问题的解决方案；</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能够根据对象特征，选择研究路线，设计实验方案；</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能够根据实验方案构建实验系统，安全地开展实验，正确地采集实验数据；</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 能对实验结果进行分析和解释，并通过信息综合得到合理有效的结论。</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使用现代工具：能够针对精细化工领域的复杂工程问题，开发、选择与使用恰当的技术、资源、现代工程工具和信息技术工具，包括对精细化工领域的复杂工程问题的预测与模拟，并能够理解其局限性。</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了解专业常用的现代仪器、信息技术工具、工程工具和模拟软件的使用原理和方法，并理解其局限性；</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能够选择与使用恰当的仪器、信息资源、工程工具和专业模拟软件，对精细化工领域的复杂工程问题进行分析、计算与设计；</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能够针对具体的对象，开发或选用满足特定需求的现代工具，模拟和预测精细化工领域的专业问题，并能够分析其局限性。</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工程与社会：能够基于工程相关背景知识进行合理分析，评价精细化工领域的专业工程实践和复杂工程问题解决方案对社会、健康、安全、法律以及文化的影响，并理解应承担的责任。</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了解精细化工专业相关领域的技术标准体系、知识产权、产业政策和法律法规，理解不同社会文化对精细化工工程活动的影响；</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能分析和评价精细化工领域的专业工程实践对社会、健康、安全、法律、文化的影响，以及这些制约因素对项目实施的影响，并理解应承担的责任。</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环境和可持续发展：能够理解和评价针对精细化工领域的复杂工程问题的工程实践对环境、社会可持续发展的影响。</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知晓和理解环境保护和可持续发展的理念和内涵；</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能够站在环境保护和可持续发展的角度思考精细化工领域的专业工程实践的可持续性，评价产品周期中可能对人类和环境造成的损害和隐患。</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职业规范：具有人文社会科学素养、社会责任感，能够在精细化工领域的工程实践中理解并遵守工程职业道德和规范，履行责任。</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有正确价值观，理解个人与社会的关系，了解中国国情；</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理解诚实公正、诚信守则的工程职业道德和规范，并能在精细化工领域的工程实践中自觉遵守；</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理解工程师对公众的安全、健康和福祉，以及环境保护的社会责任，能够在精细化工领域的工程实践中自觉履行责任。</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个人和团队：能够在多学科背景下的团队中承担个体、团队成员以及负责人的角色。</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能与其他学科的成员有效沟通，合作共事；</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能够在团队中独立或合作开展工作；</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 能够组织、协调和指挥团队开展工作。</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沟通：能够就精细化工领域的复杂工程问题与业界同行及社会公众进行有效沟通和交流，包括撰写报告和设计文稿、陈述发言、清晰表达或回应指令，并具备一定的国际视野，能够在跨文化背景下进行沟通和交流。</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能就精细化工领域的专业问题，以口头、文稿、图表等方式，准确表达自己的观点，回应质疑，理解与业界同行和社会公众交流的差异性。</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了解精细化工专业领域的国际发展趋势、研究热点，理解和尊重世界不同文化的差异性和多样性；</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 具备跨文化交流的语言和书面表达能力，能就精细化工领域的专业问题，在跨文化背景下进行基本沟通和交流。</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项目管理：理解并掌握精细化工工程管理原理与经济决策方法，并能在多学科环境中应用。</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掌握精细化工工程项目中涉及的管理与经济决策方法；</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了解精细化工工程及产品全周期、全流程的成本构成，理解其中涉及的精细化工工程管理与经济决策问题；</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能在多学科环境下(包括模拟环境)，在设计开发解决方案的过程中，运用精细化工工程管理与经济决策方法。</w:t>
      </w:r>
    </w:p>
    <w:p>
      <w:pPr>
        <w:widowControl/>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终身学习：具有自主学习和终身学习的意识，有不断学习和适应发展的能力。</w:t>
      </w:r>
    </w:p>
    <w:p>
      <w:pPr>
        <w:widowControl/>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能在社会发展的大背景下，认识到自主和终身学习的必要性；</w:t>
      </w:r>
    </w:p>
    <w:p>
      <w:pPr>
        <w:adjustRightInd w:val="0"/>
        <w:snapToGrid w:val="0"/>
        <w:spacing w:line="560" w:lineRule="exact"/>
        <w:ind w:firstLine="470" w:firstLineChars="196"/>
        <w:jc w:val="left"/>
        <w:rPr>
          <w:rFonts w:asciiTheme="majorEastAsia" w:hAnsiTheme="majorEastAsia" w:eastAsiaTheme="majorEastAsia"/>
          <w:sz w:val="24"/>
          <w:szCs w:val="24"/>
        </w:rPr>
      </w:pPr>
      <w:r>
        <w:rPr>
          <w:rFonts w:hint="eastAsia" w:asciiTheme="minorEastAsia" w:hAnsiTheme="minorEastAsia" w:eastAsiaTheme="minorEastAsia" w:cstheme="minorEastAsia"/>
          <w:sz w:val="24"/>
          <w:szCs w:val="24"/>
        </w:rPr>
        <w:t>12.2 具有自主学习的能力，包括对精细化工领域的技术问题的理解能力，归纳总结的能力和提出问题的能力等。</w:t>
      </w: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三、主干学科</w:t>
      </w:r>
    </w:p>
    <w:p>
      <w:pPr>
        <w:adjustRightInd w:val="0"/>
        <w:snapToGrid w:val="0"/>
        <w:spacing w:line="560" w:lineRule="exact"/>
        <w:ind w:firstLine="470" w:firstLineChars="196"/>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r>
        <w:rPr>
          <w:rFonts w:ascii="Times New Roman" w:hAnsi="Times New Roman"/>
          <w:bCs/>
          <w:sz w:val="24"/>
          <w:szCs w:val="24"/>
        </w:rPr>
        <w:t>化工</w:t>
      </w:r>
      <w:r>
        <w:rPr>
          <w:rFonts w:hint="eastAsia" w:ascii="Times New Roman" w:hAnsi="Times New Roman"/>
          <w:bCs/>
          <w:sz w:val="24"/>
          <w:szCs w:val="24"/>
        </w:rPr>
        <w:t>与制药</w:t>
      </w: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四、主干课程</w:t>
      </w:r>
    </w:p>
    <w:p>
      <w:pPr>
        <w:adjustRightInd w:val="0"/>
        <w:snapToGrid w:val="0"/>
        <w:spacing w:line="560" w:lineRule="exact"/>
        <w:rPr>
          <w:rFonts w:asciiTheme="majorEastAsia" w:hAnsiTheme="majorEastAsia" w:eastAsiaTheme="majorEastAsia"/>
          <w:b/>
          <w:color w:val="000000"/>
          <w:sz w:val="24"/>
          <w:szCs w:val="24"/>
        </w:rPr>
      </w:pPr>
      <w:r>
        <w:rPr>
          <w:rFonts w:hint="eastAsia" w:asciiTheme="majorEastAsia" w:hAnsiTheme="majorEastAsia" w:eastAsiaTheme="majorEastAsia"/>
          <w:b/>
          <w:color w:val="000000"/>
          <w:sz w:val="24"/>
          <w:szCs w:val="24"/>
        </w:rPr>
        <w:t xml:space="preserve">     </w:t>
      </w:r>
      <w:r>
        <w:rPr>
          <w:rFonts w:ascii="Times New Roman" w:hAnsi="Times New Roman"/>
          <w:sz w:val="24"/>
          <w:szCs w:val="24"/>
        </w:rPr>
        <w:t>无机化学、有机化学、分析化学、物理化学、化工原理、</w:t>
      </w:r>
      <w:r>
        <w:rPr>
          <w:rFonts w:hint="eastAsia" w:ascii="Times New Roman" w:hAnsi="Times New Roman"/>
          <w:sz w:val="24"/>
          <w:szCs w:val="24"/>
        </w:rPr>
        <w:t>高分子基础、仪器分析、</w:t>
      </w:r>
      <w:r>
        <w:rPr>
          <w:rFonts w:ascii="Times New Roman" w:hAnsi="Times New Roman"/>
          <w:sz w:val="24"/>
          <w:szCs w:val="24"/>
        </w:rPr>
        <w:t>精细化</w:t>
      </w:r>
      <w:r>
        <w:rPr>
          <w:rFonts w:hint="eastAsia" w:ascii="Times New Roman" w:hAnsi="Times New Roman"/>
          <w:sz w:val="24"/>
          <w:szCs w:val="24"/>
        </w:rPr>
        <w:t>工概论</w:t>
      </w:r>
      <w:r>
        <w:rPr>
          <w:rFonts w:ascii="Times New Roman" w:hAnsi="Times New Roman"/>
          <w:sz w:val="24"/>
          <w:szCs w:val="24"/>
        </w:rPr>
        <w:t>、精细有机合成</w:t>
      </w:r>
      <w:r>
        <w:rPr>
          <w:rFonts w:hint="eastAsia" w:ascii="Times New Roman" w:hAnsi="Times New Roman"/>
          <w:sz w:val="24"/>
          <w:szCs w:val="24"/>
        </w:rPr>
        <w:t>、精细化工</w:t>
      </w:r>
      <w:r>
        <w:rPr>
          <w:rFonts w:ascii="Times New Roman" w:hAnsi="Times New Roman"/>
          <w:sz w:val="24"/>
          <w:szCs w:val="24"/>
        </w:rPr>
        <w:t>工艺学、</w:t>
      </w:r>
      <w:r>
        <w:rPr>
          <w:rFonts w:hint="eastAsia" w:ascii="Times New Roman" w:hAnsi="Times New Roman"/>
          <w:sz w:val="24"/>
          <w:szCs w:val="24"/>
        </w:rPr>
        <w:t>化学</w:t>
      </w:r>
      <w:r>
        <w:rPr>
          <w:rFonts w:ascii="Times New Roman" w:hAnsi="Times New Roman"/>
          <w:sz w:val="24"/>
          <w:szCs w:val="24"/>
        </w:rPr>
        <w:t>反应工程、分离工程、精细化工工程与设备、</w:t>
      </w:r>
      <w:r>
        <w:rPr>
          <w:rFonts w:hint="eastAsia" w:ascii="Times New Roman" w:hAnsi="Times New Roman"/>
          <w:sz w:val="24"/>
          <w:szCs w:val="24"/>
        </w:rPr>
        <w:t>电工及电子技术、</w:t>
      </w:r>
      <w:r>
        <w:rPr>
          <w:rFonts w:hint="eastAsia" w:ascii="Times New Roman" w:hAnsi="Times New Roman"/>
          <w:color w:val="auto"/>
          <w:sz w:val="24"/>
          <w:szCs w:val="24"/>
        </w:rPr>
        <w:t>化工设计及化工安全与环保</w:t>
      </w:r>
      <w:r>
        <w:rPr>
          <w:rFonts w:ascii="Times New Roman" w:hAnsi="Times New Roman"/>
          <w:color w:val="auto"/>
          <w:sz w:val="24"/>
          <w:szCs w:val="24"/>
        </w:rPr>
        <w:t>等。</w:t>
      </w: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五、各类课程结构比例</w:t>
      </w:r>
    </w:p>
    <w:tbl>
      <w:tblPr>
        <w:tblStyle w:val="8"/>
        <w:tblW w:w="10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587"/>
        <w:gridCol w:w="660"/>
        <w:gridCol w:w="802"/>
        <w:gridCol w:w="1069"/>
        <w:gridCol w:w="718"/>
        <w:gridCol w:w="1149"/>
        <w:gridCol w:w="100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58" w:type="dxa"/>
            <w:vAlign w:val="center"/>
          </w:tcPr>
          <w:p>
            <w:pPr>
              <w:adjustRightInd w:val="0"/>
              <w:snapToGrid w:val="0"/>
              <w:spacing w:line="240" w:lineRule="exact"/>
              <w:ind w:left="-62"/>
              <w:jc w:val="center"/>
              <w:rPr>
                <w:rFonts w:ascii="宋体"/>
                <w:b/>
                <w:color w:val="auto"/>
                <w:szCs w:val="21"/>
              </w:rPr>
            </w:pPr>
            <w:r>
              <w:rPr>
                <w:rFonts w:hint="eastAsia" w:ascii="宋体" w:hAnsi="宋体"/>
                <w:b/>
                <w:color w:val="auto"/>
                <w:szCs w:val="21"/>
              </w:rPr>
              <w:t>课程类别及</w:t>
            </w:r>
          </w:p>
          <w:p>
            <w:pPr>
              <w:adjustRightInd w:val="0"/>
              <w:snapToGrid w:val="0"/>
              <w:spacing w:line="240" w:lineRule="exact"/>
              <w:ind w:left="-62"/>
              <w:jc w:val="center"/>
              <w:rPr>
                <w:rFonts w:ascii="宋体"/>
                <w:b/>
                <w:color w:val="auto"/>
                <w:szCs w:val="21"/>
              </w:rPr>
            </w:pPr>
            <w:r>
              <w:rPr>
                <w:rFonts w:hint="eastAsia" w:ascii="宋体" w:hAnsi="宋体"/>
                <w:b/>
                <w:color w:val="auto"/>
                <w:szCs w:val="21"/>
              </w:rPr>
              <w:t>学分比例</w:t>
            </w:r>
          </w:p>
        </w:tc>
        <w:tc>
          <w:tcPr>
            <w:tcW w:w="2587"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课程模块</w:t>
            </w:r>
          </w:p>
        </w:tc>
        <w:tc>
          <w:tcPr>
            <w:tcW w:w="660"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门数</w:t>
            </w:r>
          </w:p>
        </w:tc>
        <w:tc>
          <w:tcPr>
            <w:tcW w:w="802"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学分</w:t>
            </w:r>
          </w:p>
        </w:tc>
        <w:tc>
          <w:tcPr>
            <w:tcW w:w="1069"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标准总学时</w:t>
            </w:r>
          </w:p>
        </w:tc>
        <w:tc>
          <w:tcPr>
            <w:tcW w:w="718"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理论学时</w:t>
            </w:r>
          </w:p>
        </w:tc>
        <w:tc>
          <w:tcPr>
            <w:tcW w:w="1149"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实践学时（含课内实践或实训）</w:t>
            </w:r>
          </w:p>
        </w:tc>
        <w:tc>
          <w:tcPr>
            <w:tcW w:w="1005"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实践教学学分占比</w:t>
            </w:r>
            <w:r>
              <w:rPr>
                <w:rFonts w:ascii="宋体" w:hAnsi="宋体"/>
                <w:b/>
                <w:color w:val="auto"/>
                <w:szCs w:val="21"/>
              </w:rPr>
              <w:t>(%)</w:t>
            </w:r>
          </w:p>
        </w:tc>
        <w:tc>
          <w:tcPr>
            <w:tcW w:w="1080" w:type="dxa"/>
            <w:vAlign w:val="center"/>
          </w:tcPr>
          <w:p>
            <w:pPr>
              <w:adjustRightInd w:val="0"/>
              <w:snapToGrid w:val="0"/>
              <w:spacing w:line="240" w:lineRule="exact"/>
              <w:jc w:val="center"/>
              <w:rPr>
                <w:rFonts w:ascii="宋体"/>
                <w:b/>
                <w:color w:val="auto"/>
                <w:szCs w:val="21"/>
              </w:rPr>
            </w:pPr>
            <w:r>
              <w:rPr>
                <w:rFonts w:hint="eastAsia" w:ascii="宋体" w:hAnsi="宋体"/>
                <w:b/>
                <w:color w:val="auto"/>
                <w:szCs w:val="21"/>
              </w:rPr>
              <w:t>实践教学时</w:t>
            </w:r>
          </w:p>
          <w:p>
            <w:pPr>
              <w:adjustRightInd w:val="0"/>
              <w:snapToGrid w:val="0"/>
              <w:spacing w:line="240" w:lineRule="exact"/>
              <w:jc w:val="center"/>
              <w:rPr>
                <w:rFonts w:ascii="宋体"/>
                <w:b/>
                <w:color w:val="auto"/>
                <w:szCs w:val="21"/>
              </w:rPr>
            </w:pPr>
            <w:r>
              <w:rPr>
                <w:rFonts w:hint="eastAsia" w:ascii="宋体" w:hAnsi="宋体"/>
                <w:b/>
                <w:color w:val="auto"/>
                <w:szCs w:val="21"/>
              </w:rPr>
              <w:t>占比（</w:t>
            </w:r>
            <w:r>
              <w:rPr>
                <w:rFonts w:ascii="宋体" w:hAnsi="宋体"/>
                <w:b/>
                <w:color w:val="auto"/>
                <w:szCs w:val="21"/>
              </w:rPr>
              <w:t>%</w:t>
            </w:r>
            <w:r>
              <w:rPr>
                <w:rFonts w:hint="eastAsia" w:ascii="宋体" w:hAnsi="宋体"/>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58" w:type="dxa"/>
            <w:vMerge w:val="restart"/>
            <w:vAlign w:val="center"/>
          </w:tcPr>
          <w:p>
            <w:pPr>
              <w:adjustRightInd w:val="0"/>
              <w:snapToGrid w:val="0"/>
              <w:spacing w:line="560" w:lineRule="exact"/>
              <w:ind w:left="-60"/>
              <w:jc w:val="center"/>
              <w:rPr>
                <w:rFonts w:ascii="宋体" w:hAnsi="宋体"/>
                <w:color w:val="auto"/>
                <w:szCs w:val="21"/>
                <w:highlight w:val="none"/>
              </w:rPr>
            </w:pPr>
            <w:r>
              <w:rPr>
                <w:rFonts w:hint="eastAsia" w:ascii="宋体" w:hAnsi="宋体"/>
                <w:color w:val="auto"/>
                <w:szCs w:val="21"/>
                <w:highlight w:val="none"/>
              </w:rPr>
              <w:t>公共必修课程平台</w:t>
            </w:r>
          </w:p>
          <w:p>
            <w:pPr>
              <w:adjustRightInd w:val="0"/>
              <w:snapToGrid w:val="0"/>
              <w:spacing w:line="240" w:lineRule="exact"/>
              <w:ind w:left="-62" w:leftChars="0"/>
              <w:jc w:val="center"/>
              <w:rPr>
                <w:rFonts w:ascii="宋体" w:hAnsi="宋体"/>
                <w:b/>
                <w:color w:val="auto"/>
                <w:szCs w:val="21"/>
              </w:rPr>
            </w:pPr>
            <w:r>
              <w:rPr>
                <w:rFonts w:hint="eastAsia" w:ascii="宋体" w:hAnsi="宋体"/>
                <w:color w:val="auto"/>
                <w:szCs w:val="21"/>
                <w:highlight w:val="none"/>
              </w:rPr>
              <w:t>（</w:t>
            </w:r>
            <w:r>
              <w:rPr>
                <w:rFonts w:hint="eastAsia" w:ascii="宋体" w:hAnsi="宋体"/>
                <w:color w:val="auto"/>
                <w:szCs w:val="21"/>
                <w:highlight w:val="none"/>
                <w:lang w:val="en-US" w:eastAsia="zh-CN"/>
              </w:rPr>
              <w:t>24.8</w:t>
            </w:r>
            <w:r>
              <w:rPr>
                <w:rFonts w:hint="eastAsia" w:ascii="宋体" w:hAnsi="宋体"/>
                <w:color w:val="auto"/>
                <w:szCs w:val="21"/>
                <w:highlight w:val="none"/>
              </w:rPr>
              <w:t>%）</w:t>
            </w:r>
          </w:p>
        </w:tc>
        <w:tc>
          <w:tcPr>
            <w:tcW w:w="2587"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宋体" w:hAnsi="宋体"/>
                <w:color w:val="auto"/>
                <w:szCs w:val="21"/>
              </w:rPr>
              <w:t>思想政治教育课程模块</w:t>
            </w:r>
          </w:p>
        </w:tc>
        <w:tc>
          <w:tcPr>
            <w:tcW w:w="660"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lang w:val="en-US" w:eastAsia="zh-CN"/>
              </w:rPr>
              <w:t>9</w:t>
            </w:r>
          </w:p>
        </w:tc>
        <w:tc>
          <w:tcPr>
            <w:tcW w:w="802"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lang w:val="en-US" w:eastAsia="zh-CN"/>
              </w:rPr>
              <w:t>19</w:t>
            </w:r>
          </w:p>
        </w:tc>
        <w:tc>
          <w:tcPr>
            <w:tcW w:w="106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304</w:t>
            </w:r>
          </w:p>
        </w:tc>
        <w:tc>
          <w:tcPr>
            <w:tcW w:w="718"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256</w:t>
            </w:r>
          </w:p>
        </w:tc>
        <w:tc>
          <w:tcPr>
            <w:tcW w:w="114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96</w:t>
            </w:r>
          </w:p>
        </w:tc>
        <w:tc>
          <w:tcPr>
            <w:tcW w:w="1005"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15.7</w:t>
            </w:r>
            <w:r>
              <w:rPr>
                <w:rFonts w:hint="eastAsia" w:ascii="宋体" w:hAnsi="宋体"/>
                <w:color w:val="auto"/>
                <w:szCs w:val="21"/>
                <w:highlight w:val="none"/>
                <w:lang w:val="en-US" w:eastAsia="zh-CN"/>
              </w:rPr>
              <w:t>9</w:t>
            </w:r>
          </w:p>
        </w:tc>
        <w:tc>
          <w:tcPr>
            <w:tcW w:w="1080"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27.2</w:t>
            </w:r>
            <w:r>
              <w:rPr>
                <w:rFonts w:hint="eastAsia" w:ascii="宋体" w:hAnsi="宋体"/>
                <w:color w:val="auto"/>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58" w:type="dxa"/>
            <w:vMerge w:val="continue"/>
            <w:vAlign w:val="center"/>
          </w:tcPr>
          <w:p>
            <w:pPr>
              <w:adjustRightInd w:val="0"/>
              <w:snapToGrid w:val="0"/>
              <w:spacing w:line="240" w:lineRule="exact"/>
              <w:ind w:left="-62"/>
              <w:jc w:val="center"/>
              <w:rPr>
                <w:rFonts w:ascii="宋体" w:hAnsi="宋体"/>
                <w:b/>
                <w:color w:val="auto"/>
                <w:szCs w:val="21"/>
              </w:rPr>
            </w:pPr>
          </w:p>
        </w:tc>
        <w:tc>
          <w:tcPr>
            <w:tcW w:w="2587"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宋体" w:hAnsi="宋体"/>
                <w:color w:val="auto"/>
                <w:szCs w:val="21"/>
              </w:rPr>
              <w:t>基础素养与技能课程模块</w:t>
            </w:r>
          </w:p>
        </w:tc>
        <w:tc>
          <w:tcPr>
            <w:tcW w:w="660"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rPr>
              <w:t>10</w:t>
            </w:r>
          </w:p>
        </w:tc>
        <w:tc>
          <w:tcPr>
            <w:tcW w:w="802"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rPr>
              <w:t>20</w:t>
            </w:r>
          </w:p>
        </w:tc>
        <w:tc>
          <w:tcPr>
            <w:tcW w:w="106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400</w:t>
            </w:r>
          </w:p>
        </w:tc>
        <w:tc>
          <w:tcPr>
            <w:tcW w:w="718"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224</w:t>
            </w:r>
          </w:p>
        </w:tc>
        <w:tc>
          <w:tcPr>
            <w:tcW w:w="114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208</w:t>
            </w:r>
          </w:p>
        </w:tc>
        <w:tc>
          <w:tcPr>
            <w:tcW w:w="1005"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lang w:val="en-US" w:eastAsia="zh-CN"/>
              </w:rPr>
              <w:t>30</w:t>
            </w:r>
          </w:p>
        </w:tc>
        <w:tc>
          <w:tcPr>
            <w:tcW w:w="1080"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lang w:val="en-US" w:eastAsia="zh-CN"/>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58" w:type="dxa"/>
            <w:vMerge w:val="continue"/>
            <w:vAlign w:val="center"/>
          </w:tcPr>
          <w:p>
            <w:pPr>
              <w:adjustRightInd w:val="0"/>
              <w:snapToGrid w:val="0"/>
              <w:spacing w:line="240" w:lineRule="exact"/>
              <w:ind w:left="-62"/>
              <w:jc w:val="center"/>
              <w:rPr>
                <w:rFonts w:ascii="宋体" w:hAnsi="宋体"/>
                <w:b/>
                <w:color w:val="auto"/>
                <w:szCs w:val="21"/>
              </w:rPr>
            </w:pPr>
          </w:p>
        </w:tc>
        <w:tc>
          <w:tcPr>
            <w:tcW w:w="2587"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宋体" w:hAnsi="宋体"/>
                <w:color w:val="auto"/>
                <w:szCs w:val="21"/>
              </w:rPr>
              <w:t>国防教育课程模块</w:t>
            </w:r>
          </w:p>
        </w:tc>
        <w:tc>
          <w:tcPr>
            <w:tcW w:w="660"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rPr>
              <w:t>2</w:t>
            </w:r>
          </w:p>
        </w:tc>
        <w:tc>
          <w:tcPr>
            <w:tcW w:w="802"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rPr>
              <w:t>4</w:t>
            </w:r>
          </w:p>
        </w:tc>
        <w:tc>
          <w:tcPr>
            <w:tcW w:w="106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64</w:t>
            </w:r>
          </w:p>
        </w:tc>
        <w:tc>
          <w:tcPr>
            <w:tcW w:w="718"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32</w:t>
            </w:r>
          </w:p>
        </w:tc>
        <w:tc>
          <w:tcPr>
            <w:tcW w:w="114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2W</w:t>
            </w:r>
          </w:p>
        </w:tc>
        <w:tc>
          <w:tcPr>
            <w:tcW w:w="1005" w:type="dxa"/>
            <w:vAlign w:val="center"/>
          </w:tcPr>
          <w:p>
            <w:pPr>
              <w:adjustRightInd w:val="0"/>
              <w:snapToGrid w:val="0"/>
              <w:spacing w:line="240" w:lineRule="exact"/>
              <w:jc w:val="center"/>
              <w:rPr>
                <w:rFonts w:ascii="宋体" w:hAnsi="宋体"/>
                <w:color w:val="auto"/>
                <w:szCs w:val="21"/>
              </w:rPr>
            </w:pPr>
            <w:r>
              <w:rPr>
                <w:rFonts w:hint="eastAsia" w:asciiTheme="minorEastAsia" w:hAnsiTheme="minorEastAsia" w:eastAsiaTheme="minorEastAsia"/>
                <w:color w:val="auto"/>
                <w:szCs w:val="21"/>
              </w:rPr>
              <w:t>50</w:t>
            </w:r>
          </w:p>
        </w:tc>
        <w:tc>
          <w:tcPr>
            <w:tcW w:w="1080" w:type="dxa"/>
            <w:vAlign w:val="center"/>
          </w:tcPr>
          <w:p>
            <w:pPr>
              <w:adjustRightInd w:val="0"/>
              <w:snapToGrid w:val="0"/>
              <w:spacing w:line="240" w:lineRule="exact"/>
              <w:jc w:val="center"/>
              <w:rPr>
                <w:rFonts w:ascii="宋体" w:hAnsi="宋体"/>
                <w:color w:val="auto"/>
                <w:szCs w:val="21"/>
              </w:rPr>
            </w:pPr>
            <w:r>
              <w:rPr>
                <w:rFonts w:hint="eastAsia" w:asciiTheme="minorEastAsia" w:hAnsiTheme="minorEastAsia" w:eastAsiaTheme="minorEastAsia"/>
                <w:color w:val="auto"/>
                <w:szCs w:val="21"/>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8" w:type="dxa"/>
            <w:vMerge w:val="continue"/>
            <w:vAlign w:val="center"/>
          </w:tcPr>
          <w:p>
            <w:pPr>
              <w:adjustRightInd w:val="0"/>
              <w:snapToGrid w:val="0"/>
              <w:spacing w:line="240" w:lineRule="exact"/>
              <w:ind w:left="-62"/>
              <w:jc w:val="center"/>
              <w:rPr>
                <w:rFonts w:ascii="宋体" w:hAnsi="宋体"/>
                <w:b/>
                <w:color w:val="auto"/>
                <w:szCs w:val="21"/>
              </w:rPr>
            </w:pPr>
          </w:p>
        </w:tc>
        <w:tc>
          <w:tcPr>
            <w:tcW w:w="2587" w:type="dxa"/>
            <w:vAlign w:val="center"/>
          </w:tcPr>
          <w:p>
            <w:pPr>
              <w:adjustRightInd w:val="0"/>
              <w:snapToGrid w:val="0"/>
              <w:spacing w:line="560" w:lineRule="exact"/>
              <w:jc w:val="center"/>
              <w:rPr>
                <w:rFonts w:ascii="宋体" w:hAnsi="宋体"/>
                <w:color w:val="auto"/>
                <w:szCs w:val="21"/>
              </w:rPr>
            </w:pPr>
            <w:r>
              <w:rPr>
                <w:rFonts w:hint="eastAsia" w:ascii="宋体" w:hAnsi="宋体"/>
                <w:color w:val="auto"/>
                <w:szCs w:val="21"/>
              </w:rPr>
              <w:t>小计</w:t>
            </w:r>
          </w:p>
        </w:tc>
        <w:tc>
          <w:tcPr>
            <w:tcW w:w="660"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lang w:val="en-US" w:eastAsia="zh-CN"/>
              </w:rPr>
              <w:t>21</w:t>
            </w:r>
          </w:p>
        </w:tc>
        <w:tc>
          <w:tcPr>
            <w:tcW w:w="802"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lang w:val="en-US" w:eastAsia="zh-CN"/>
              </w:rPr>
              <w:t>43</w:t>
            </w:r>
          </w:p>
        </w:tc>
        <w:tc>
          <w:tcPr>
            <w:tcW w:w="106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768</w:t>
            </w:r>
          </w:p>
        </w:tc>
        <w:tc>
          <w:tcPr>
            <w:tcW w:w="718"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512</w:t>
            </w:r>
          </w:p>
        </w:tc>
        <w:tc>
          <w:tcPr>
            <w:tcW w:w="1149" w:type="dxa"/>
            <w:vAlign w:val="center"/>
          </w:tcPr>
          <w:p>
            <w:pPr>
              <w:adjustRightInd w:val="0"/>
              <w:snapToGrid w:val="0"/>
              <w:spacing w:line="240" w:lineRule="exact"/>
              <w:jc w:val="center"/>
              <w:rPr>
                <w:rFonts w:ascii="宋体" w:hAnsi="宋体"/>
                <w:color w:val="auto"/>
                <w:szCs w:val="21"/>
              </w:rPr>
            </w:pPr>
            <w:r>
              <w:rPr>
                <w:rFonts w:hint="eastAsia" w:ascii="宋体" w:hAnsi="宋体"/>
                <w:color w:val="auto"/>
                <w:szCs w:val="21"/>
                <w:highlight w:val="none"/>
              </w:rPr>
              <w:t>304+2W</w:t>
            </w:r>
          </w:p>
        </w:tc>
        <w:tc>
          <w:tcPr>
            <w:tcW w:w="1005" w:type="dxa"/>
            <w:vAlign w:val="center"/>
          </w:tcPr>
          <w:p>
            <w:pPr>
              <w:adjustRightInd w:val="0"/>
              <w:snapToGrid w:val="0"/>
              <w:spacing w:line="240" w:lineRule="exact"/>
              <w:jc w:val="center"/>
              <w:rPr>
                <w:rFonts w:ascii="宋体" w:hAnsi="宋体"/>
                <w:color w:val="auto"/>
                <w:szCs w:val="21"/>
              </w:rPr>
            </w:pPr>
            <w:r>
              <w:rPr>
                <w:rFonts w:hint="eastAsia" w:asciiTheme="minorEastAsia" w:hAnsiTheme="minorEastAsia" w:eastAsiaTheme="minorEastAsia"/>
                <w:color w:val="auto"/>
                <w:szCs w:val="21"/>
                <w:lang w:val="en-US" w:eastAsia="zh-CN"/>
              </w:rPr>
              <w:t>25.58</w:t>
            </w:r>
          </w:p>
        </w:tc>
        <w:tc>
          <w:tcPr>
            <w:tcW w:w="1080" w:type="dxa"/>
            <w:vAlign w:val="center"/>
          </w:tcPr>
          <w:p>
            <w:pPr>
              <w:adjustRightInd w:val="0"/>
              <w:snapToGrid w:val="0"/>
              <w:spacing w:line="240" w:lineRule="exact"/>
              <w:jc w:val="center"/>
              <w:rPr>
                <w:rFonts w:ascii="宋体" w:hAnsi="宋体"/>
                <w:color w:val="auto"/>
                <w:szCs w:val="21"/>
              </w:rPr>
            </w:pPr>
            <w:r>
              <w:rPr>
                <w:rFonts w:hint="eastAsia" w:asciiTheme="minorEastAsia" w:hAnsiTheme="minorEastAsia" w:eastAsiaTheme="minorEastAsia"/>
                <w:color w:val="auto"/>
                <w:szCs w:val="21"/>
                <w:lang w:val="en-US" w:eastAsia="zh-CN"/>
              </w:rPr>
              <w:t>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restart"/>
            <w:vAlign w:val="center"/>
          </w:tcPr>
          <w:p>
            <w:pPr>
              <w:adjustRightInd w:val="0"/>
              <w:snapToGrid w:val="0"/>
              <w:spacing w:line="240" w:lineRule="exact"/>
              <w:ind w:left="-60"/>
              <w:jc w:val="center"/>
              <w:rPr>
                <w:rFonts w:ascii="宋体"/>
                <w:color w:val="auto"/>
                <w:szCs w:val="21"/>
              </w:rPr>
            </w:pPr>
            <w:r>
              <w:rPr>
                <w:rFonts w:hint="eastAsia" w:ascii="宋体" w:hAnsi="宋体"/>
                <w:color w:val="auto"/>
                <w:szCs w:val="21"/>
              </w:rPr>
              <w:t>通识教育课程平台</w:t>
            </w:r>
          </w:p>
          <w:p>
            <w:pPr>
              <w:adjustRightInd w:val="0"/>
              <w:snapToGrid w:val="0"/>
              <w:spacing w:line="240" w:lineRule="exact"/>
              <w:ind w:left="-60" w:leftChars="0"/>
              <w:jc w:val="center"/>
              <w:rPr>
                <w:rFonts w:ascii="宋体"/>
                <w:color w:val="auto"/>
                <w:szCs w:val="21"/>
              </w:rPr>
            </w:pPr>
            <w:r>
              <w:rPr>
                <w:rFonts w:hint="eastAsia" w:ascii="宋体" w:hAnsi="宋体"/>
                <w:color w:val="auto"/>
                <w:szCs w:val="21"/>
              </w:rPr>
              <w:t>（</w:t>
            </w:r>
            <w:r>
              <w:rPr>
                <w:rFonts w:hint="eastAsia" w:ascii="宋体" w:hAnsi="宋体"/>
                <w:color w:val="auto"/>
                <w:szCs w:val="21"/>
                <w:lang w:val="en-US" w:eastAsia="zh-CN"/>
              </w:rPr>
              <w:t>9.2</w:t>
            </w:r>
            <w:r>
              <w:rPr>
                <w:rFonts w:ascii="宋体" w:hAnsi="宋体"/>
                <w:color w:val="auto"/>
                <w:szCs w:val="21"/>
              </w:rPr>
              <w:t>%</w:t>
            </w:r>
            <w:r>
              <w:rPr>
                <w:rFonts w:hint="eastAsia" w:ascii="宋体" w:hAnsi="宋体"/>
                <w:color w:val="auto"/>
                <w:szCs w:val="21"/>
              </w:rPr>
              <w:t>）</w:t>
            </w:r>
          </w:p>
        </w:tc>
        <w:tc>
          <w:tcPr>
            <w:tcW w:w="2587" w:type="dxa"/>
            <w:vAlign w:val="center"/>
          </w:tcPr>
          <w:p>
            <w:pPr>
              <w:adjustRightInd w:val="0"/>
              <w:snapToGrid w:val="0"/>
              <w:jc w:val="center"/>
              <w:rPr>
                <w:rFonts w:ascii="宋体" w:hAnsi="宋体"/>
                <w:color w:val="auto"/>
                <w:szCs w:val="21"/>
              </w:rPr>
            </w:pPr>
            <w:r>
              <w:rPr>
                <w:rFonts w:hint="eastAsia" w:ascii="宋体" w:hAnsi="宋体"/>
                <w:color w:val="auto"/>
                <w:szCs w:val="21"/>
              </w:rPr>
              <w:t>核心通识课程模块</w:t>
            </w:r>
          </w:p>
        </w:tc>
        <w:tc>
          <w:tcPr>
            <w:tcW w:w="660" w:type="dxa"/>
            <w:vAlign w:val="center"/>
          </w:tcPr>
          <w:p>
            <w:pPr>
              <w:jc w:val="center"/>
              <w:rPr>
                <w:rFonts w:ascii="宋体" w:hAnsi="宋体"/>
                <w:color w:val="auto"/>
                <w:szCs w:val="21"/>
              </w:rPr>
            </w:pPr>
            <w:r>
              <w:rPr>
                <w:rFonts w:cs="Times New Roman"/>
                <w:color w:val="auto"/>
              </w:rPr>
              <w:t>5</w:t>
            </w:r>
          </w:p>
        </w:tc>
        <w:tc>
          <w:tcPr>
            <w:tcW w:w="802" w:type="dxa"/>
            <w:vAlign w:val="center"/>
          </w:tcPr>
          <w:p>
            <w:pPr>
              <w:jc w:val="center"/>
              <w:rPr>
                <w:rFonts w:ascii="宋体" w:hAnsi="宋体"/>
                <w:color w:val="auto"/>
                <w:szCs w:val="21"/>
              </w:rPr>
            </w:pPr>
            <w:r>
              <w:rPr>
                <w:rFonts w:hint="eastAsia" w:ascii="宋体" w:hAnsi="宋体"/>
                <w:color w:val="auto"/>
                <w:szCs w:val="21"/>
              </w:rPr>
              <w:t>10</w:t>
            </w:r>
          </w:p>
        </w:tc>
        <w:tc>
          <w:tcPr>
            <w:tcW w:w="1069"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160</w:t>
            </w:r>
          </w:p>
        </w:tc>
        <w:tc>
          <w:tcPr>
            <w:tcW w:w="718"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160</w:t>
            </w:r>
          </w:p>
        </w:tc>
        <w:tc>
          <w:tcPr>
            <w:tcW w:w="1149"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05"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80"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vAlign w:val="center"/>
          </w:tcPr>
          <w:p>
            <w:pPr>
              <w:adjustRightInd w:val="0"/>
              <w:snapToGrid w:val="0"/>
              <w:jc w:val="center"/>
              <w:rPr>
                <w:rFonts w:ascii="宋体" w:hAnsi="宋体"/>
                <w:color w:val="auto"/>
                <w:szCs w:val="21"/>
              </w:rPr>
            </w:pPr>
            <w:r>
              <w:rPr>
                <w:rFonts w:hint="eastAsia" w:ascii="宋体" w:hAnsi="宋体"/>
                <w:color w:val="auto"/>
                <w:szCs w:val="21"/>
              </w:rPr>
              <w:t>拓展通识课程与辅助通识课程模块</w:t>
            </w:r>
          </w:p>
        </w:tc>
        <w:tc>
          <w:tcPr>
            <w:tcW w:w="660" w:type="dxa"/>
            <w:vAlign w:val="center"/>
          </w:tcPr>
          <w:p>
            <w:pPr>
              <w:jc w:val="center"/>
              <w:rPr>
                <w:rFonts w:ascii="宋体" w:hAnsi="宋体"/>
                <w:color w:val="auto"/>
                <w:szCs w:val="21"/>
              </w:rPr>
            </w:pPr>
            <w:r>
              <w:rPr>
                <w:rFonts w:cs="Times New Roman"/>
                <w:color w:val="auto"/>
              </w:rPr>
              <w:t>2</w:t>
            </w:r>
          </w:p>
        </w:tc>
        <w:tc>
          <w:tcPr>
            <w:tcW w:w="802" w:type="dxa"/>
            <w:vAlign w:val="center"/>
          </w:tcPr>
          <w:p>
            <w:pPr>
              <w:jc w:val="center"/>
              <w:rPr>
                <w:rFonts w:ascii="宋体" w:hAnsi="宋体"/>
                <w:color w:val="auto"/>
                <w:szCs w:val="21"/>
              </w:rPr>
            </w:pPr>
            <w:r>
              <w:rPr>
                <w:rFonts w:hint="eastAsia" w:ascii="宋体" w:hAnsi="宋体"/>
                <w:color w:val="auto"/>
                <w:szCs w:val="21"/>
              </w:rPr>
              <w:t>4</w:t>
            </w:r>
          </w:p>
        </w:tc>
        <w:tc>
          <w:tcPr>
            <w:tcW w:w="1069"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64</w:t>
            </w:r>
          </w:p>
        </w:tc>
        <w:tc>
          <w:tcPr>
            <w:tcW w:w="718"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64</w:t>
            </w:r>
          </w:p>
        </w:tc>
        <w:tc>
          <w:tcPr>
            <w:tcW w:w="1149"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05"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80"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vAlign w:val="center"/>
          </w:tcPr>
          <w:p>
            <w:pPr>
              <w:adjustRightInd w:val="0"/>
              <w:snapToGrid w:val="0"/>
              <w:jc w:val="center"/>
              <w:rPr>
                <w:rFonts w:ascii="宋体" w:hAnsi="宋体"/>
                <w:color w:val="auto"/>
                <w:szCs w:val="21"/>
              </w:rPr>
            </w:pPr>
            <w:r>
              <w:rPr>
                <w:rFonts w:hint="eastAsia" w:ascii="宋体" w:hAnsi="宋体"/>
                <w:color w:val="auto"/>
                <w:szCs w:val="21"/>
              </w:rPr>
              <w:t>“砚园大讲堂”模块</w:t>
            </w:r>
          </w:p>
        </w:tc>
        <w:tc>
          <w:tcPr>
            <w:tcW w:w="660" w:type="dxa"/>
            <w:vAlign w:val="center"/>
          </w:tcPr>
          <w:p>
            <w:pPr>
              <w:jc w:val="center"/>
              <w:rPr>
                <w:rFonts w:ascii="宋体" w:hAnsi="宋体"/>
                <w:color w:val="auto"/>
                <w:szCs w:val="21"/>
              </w:rPr>
            </w:pPr>
            <w:r>
              <w:rPr>
                <w:rFonts w:cs="Times New Roman"/>
                <w:color w:val="auto"/>
              </w:rPr>
              <w:t>1</w:t>
            </w:r>
          </w:p>
        </w:tc>
        <w:tc>
          <w:tcPr>
            <w:tcW w:w="802" w:type="dxa"/>
            <w:vAlign w:val="center"/>
          </w:tcPr>
          <w:p>
            <w:pPr>
              <w:jc w:val="center"/>
              <w:rPr>
                <w:rFonts w:ascii="宋体" w:hAnsi="宋体"/>
                <w:color w:val="auto"/>
                <w:szCs w:val="21"/>
              </w:rPr>
            </w:pPr>
            <w:r>
              <w:rPr>
                <w:rFonts w:hint="eastAsia" w:ascii="宋体" w:hAnsi="宋体"/>
                <w:color w:val="auto"/>
                <w:szCs w:val="21"/>
              </w:rPr>
              <w:t>2</w:t>
            </w:r>
          </w:p>
        </w:tc>
        <w:tc>
          <w:tcPr>
            <w:tcW w:w="1069"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32</w:t>
            </w:r>
          </w:p>
        </w:tc>
        <w:tc>
          <w:tcPr>
            <w:tcW w:w="718"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32</w:t>
            </w:r>
          </w:p>
        </w:tc>
        <w:tc>
          <w:tcPr>
            <w:tcW w:w="1149"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05"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80" w:type="dxa"/>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shd w:val="clear" w:color="auto" w:fill="F2F2F2"/>
            <w:vAlign w:val="center"/>
          </w:tcPr>
          <w:p>
            <w:pPr>
              <w:adjustRightInd w:val="0"/>
              <w:snapToGrid w:val="0"/>
              <w:jc w:val="center"/>
              <w:rPr>
                <w:rFonts w:asciiTheme="minorEastAsia" w:hAnsiTheme="minorEastAsia"/>
                <w:color w:val="auto"/>
                <w:sz w:val="24"/>
                <w:szCs w:val="24"/>
              </w:rPr>
            </w:pPr>
            <w:r>
              <w:rPr>
                <w:rFonts w:hint="eastAsia" w:ascii="宋体" w:hAnsi="宋体"/>
                <w:color w:val="auto"/>
                <w:szCs w:val="21"/>
              </w:rPr>
              <w:t>小计</w:t>
            </w:r>
          </w:p>
        </w:tc>
        <w:tc>
          <w:tcPr>
            <w:tcW w:w="660" w:type="dxa"/>
            <w:shd w:val="clear" w:color="auto" w:fill="F2F2F2"/>
            <w:vAlign w:val="center"/>
          </w:tcPr>
          <w:p>
            <w:pPr>
              <w:jc w:val="center"/>
              <w:rPr>
                <w:rFonts w:ascii="宋体" w:hAnsi="宋体"/>
                <w:color w:val="auto"/>
                <w:szCs w:val="21"/>
              </w:rPr>
            </w:pPr>
            <w:r>
              <w:rPr>
                <w:rFonts w:cs="Times New Roman"/>
                <w:color w:val="auto"/>
              </w:rPr>
              <w:t>8</w:t>
            </w:r>
          </w:p>
        </w:tc>
        <w:tc>
          <w:tcPr>
            <w:tcW w:w="802" w:type="dxa"/>
            <w:shd w:val="clear" w:color="auto" w:fill="F2F2F2"/>
            <w:vAlign w:val="center"/>
          </w:tcPr>
          <w:p>
            <w:pPr>
              <w:jc w:val="center"/>
              <w:rPr>
                <w:rFonts w:ascii="宋体" w:hAnsi="宋体"/>
                <w:color w:val="auto"/>
                <w:szCs w:val="21"/>
              </w:rPr>
            </w:pPr>
            <w:r>
              <w:rPr>
                <w:rFonts w:hint="eastAsia" w:ascii="宋体" w:hAnsi="宋体"/>
                <w:color w:val="auto"/>
                <w:szCs w:val="21"/>
              </w:rPr>
              <w:t>16</w:t>
            </w:r>
          </w:p>
        </w:tc>
        <w:tc>
          <w:tcPr>
            <w:tcW w:w="1069"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256</w:t>
            </w:r>
          </w:p>
        </w:tc>
        <w:tc>
          <w:tcPr>
            <w:tcW w:w="718"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256</w:t>
            </w:r>
          </w:p>
        </w:tc>
        <w:tc>
          <w:tcPr>
            <w:tcW w:w="1149"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05"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Cs w:val="21"/>
                <w:lang w:bidi="ar"/>
              </w:rPr>
              <w:t>0</w:t>
            </w:r>
          </w:p>
        </w:tc>
        <w:tc>
          <w:tcPr>
            <w:tcW w:w="1080"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restart"/>
            <w:vAlign w:val="center"/>
          </w:tcPr>
          <w:p>
            <w:pPr>
              <w:adjustRightInd w:val="0"/>
              <w:snapToGrid w:val="0"/>
              <w:spacing w:line="240" w:lineRule="exact"/>
              <w:ind w:left="-60" w:leftChars="0"/>
              <w:jc w:val="center"/>
              <w:rPr>
                <w:rFonts w:ascii="宋体"/>
                <w:color w:val="auto"/>
                <w:szCs w:val="21"/>
              </w:rPr>
            </w:pPr>
            <w:r>
              <w:rPr>
                <w:rFonts w:hint="eastAsia" w:ascii="宋体" w:hAnsi="宋体"/>
                <w:color w:val="auto"/>
                <w:szCs w:val="21"/>
              </w:rPr>
              <w:t>学科基础教育课程平台（</w:t>
            </w:r>
            <w:r>
              <w:rPr>
                <w:rFonts w:hint="eastAsia" w:ascii="宋体" w:hAnsi="宋体"/>
                <w:color w:val="auto"/>
                <w:szCs w:val="21"/>
                <w:lang w:val="en-US" w:eastAsia="zh-CN"/>
              </w:rPr>
              <w:t>24.6</w:t>
            </w:r>
            <w:r>
              <w:rPr>
                <w:rFonts w:ascii="宋体" w:hAnsi="宋体"/>
                <w:color w:val="auto"/>
                <w:szCs w:val="21"/>
              </w:rPr>
              <w:t>%</w:t>
            </w:r>
            <w:r>
              <w:rPr>
                <w:rFonts w:hint="eastAsia" w:ascii="宋体" w:hAnsi="宋体"/>
                <w:color w:val="auto"/>
                <w:szCs w:val="21"/>
              </w:rPr>
              <w:t>）</w:t>
            </w:r>
          </w:p>
        </w:tc>
        <w:tc>
          <w:tcPr>
            <w:tcW w:w="2587" w:type="dxa"/>
            <w:vAlign w:val="center"/>
          </w:tcPr>
          <w:p>
            <w:pPr>
              <w:adjustRightInd w:val="0"/>
              <w:snapToGrid w:val="0"/>
              <w:spacing w:line="240" w:lineRule="exact"/>
              <w:jc w:val="center"/>
              <w:rPr>
                <w:rFonts w:ascii="宋体"/>
                <w:color w:val="auto"/>
                <w:szCs w:val="21"/>
              </w:rPr>
            </w:pPr>
            <w:r>
              <w:rPr>
                <w:rFonts w:hint="eastAsia" w:ascii="宋体" w:hAnsi="宋体"/>
                <w:color w:val="auto"/>
                <w:szCs w:val="21"/>
              </w:rPr>
              <w:t>相关学科基础课程模块</w:t>
            </w:r>
          </w:p>
        </w:tc>
        <w:tc>
          <w:tcPr>
            <w:tcW w:w="660"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val="en-US" w:eastAsia="zh-CN" w:bidi="ar"/>
              </w:rPr>
              <w:t>5</w:t>
            </w:r>
          </w:p>
        </w:tc>
        <w:tc>
          <w:tcPr>
            <w:tcW w:w="802"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14</w:t>
            </w:r>
          </w:p>
        </w:tc>
        <w:tc>
          <w:tcPr>
            <w:tcW w:w="1069"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224</w:t>
            </w:r>
          </w:p>
        </w:tc>
        <w:tc>
          <w:tcPr>
            <w:tcW w:w="718"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224</w:t>
            </w:r>
          </w:p>
        </w:tc>
        <w:tc>
          <w:tcPr>
            <w:tcW w:w="1149"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0</w:t>
            </w:r>
          </w:p>
        </w:tc>
        <w:tc>
          <w:tcPr>
            <w:tcW w:w="1005"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0</w:t>
            </w:r>
          </w:p>
        </w:tc>
        <w:tc>
          <w:tcPr>
            <w:tcW w:w="1080"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vAlign w:val="center"/>
          </w:tcPr>
          <w:p>
            <w:pPr>
              <w:adjustRightInd w:val="0"/>
              <w:snapToGrid w:val="0"/>
              <w:spacing w:line="240" w:lineRule="exact"/>
              <w:jc w:val="center"/>
              <w:rPr>
                <w:rFonts w:ascii="宋体"/>
                <w:color w:val="auto"/>
                <w:szCs w:val="21"/>
              </w:rPr>
            </w:pPr>
            <w:r>
              <w:rPr>
                <w:rFonts w:hint="eastAsia" w:ascii="宋体" w:hAnsi="宋体"/>
                <w:color w:val="auto"/>
                <w:szCs w:val="21"/>
              </w:rPr>
              <w:t>本专业学科基础课程模块</w:t>
            </w:r>
          </w:p>
        </w:tc>
        <w:tc>
          <w:tcPr>
            <w:tcW w:w="660"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val="en-US" w:eastAsia="zh-CN" w:bidi="ar"/>
              </w:rPr>
              <w:t>11</w:t>
            </w:r>
          </w:p>
        </w:tc>
        <w:tc>
          <w:tcPr>
            <w:tcW w:w="802"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28</w:t>
            </w:r>
            <w:r>
              <w:rPr>
                <w:rFonts w:ascii="Times New Roman" w:hAnsi="Times New Roman"/>
                <w:color w:val="auto"/>
                <w:kern w:val="0"/>
                <w:sz w:val="22"/>
                <w:lang w:bidi="ar"/>
              </w:rPr>
              <w:t>.5</w:t>
            </w:r>
          </w:p>
        </w:tc>
        <w:tc>
          <w:tcPr>
            <w:tcW w:w="1069"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456</w:t>
            </w:r>
          </w:p>
        </w:tc>
        <w:tc>
          <w:tcPr>
            <w:tcW w:w="718"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448</w:t>
            </w:r>
          </w:p>
        </w:tc>
        <w:tc>
          <w:tcPr>
            <w:tcW w:w="1149"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16</w:t>
            </w:r>
          </w:p>
        </w:tc>
        <w:tc>
          <w:tcPr>
            <w:tcW w:w="1005"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1</w:t>
            </w:r>
            <w:r>
              <w:rPr>
                <w:rFonts w:ascii="Times New Roman" w:hAnsi="Times New Roman"/>
                <w:color w:val="auto"/>
                <w:kern w:val="0"/>
                <w:sz w:val="22"/>
                <w:lang w:bidi="ar"/>
              </w:rPr>
              <w:t>.</w:t>
            </w:r>
            <w:r>
              <w:rPr>
                <w:rFonts w:hint="eastAsia" w:ascii="Times New Roman" w:hAnsi="Times New Roman"/>
                <w:color w:val="auto"/>
                <w:kern w:val="0"/>
                <w:sz w:val="22"/>
                <w:lang w:bidi="ar"/>
              </w:rPr>
              <w:t>75</w:t>
            </w:r>
            <w:r>
              <w:rPr>
                <w:rFonts w:ascii="Times New Roman" w:hAnsi="Times New Roman"/>
                <w:color w:val="auto"/>
                <w:kern w:val="0"/>
                <w:sz w:val="22"/>
                <w:lang w:bidi="ar"/>
              </w:rPr>
              <w:t xml:space="preserve"> </w:t>
            </w:r>
          </w:p>
        </w:tc>
        <w:tc>
          <w:tcPr>
            <w:tcW w:w="1080"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3</w:t>
            </w:r>
            <w:r>
              <w:rPr>
                <w:rFonts w:ascii="Times New Roman" w:hAnsi="Times New Roman"/>
                <w:color w:val="auto"/>
                <w:kern w:val="0"/>
                <w:sz w:val="22"/>
                <w:lang w:bidi="ar"/>
              </w:rPr>
              <w:t>.</w:t>
            </w:r>
            <w:r>
              <w:rPr>
                <w:rFonts w:hint="eastAsia" w:ascii="Times New Roman" w:hAnsi="Times New Roman"/>
                <w:color w:val="auto"/>
                <w:kern w:val="0"/>
                <w:sz w:val="22"/>
                <w:lang w:bidi="ar"/>
              </w:rPr>
              <w:t>46</w:t>
            </w:r>
            <w:r>
              <w:rPr>
                <w:rFonts w:ascii="Times New Roman" w:hAnsi="Times New Roman"/>
                <w:color w:val="auto"/>
                <w:kern w:val="0"/>
                <w:sz w:val="2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shd w:val="clear" w:color="auto" w:fill="F2F2F2"/>
            <w:vAlign w:val="center"/>
          </w:tcPr>
          <w:p>
            <w:pPr>
              <w:adjustRightInd w:val="0"/>
              <w:snapToGrid w:val="0"/>
              <w:spacing w:line="240" w:lineRule="exact"/>
              <w:jc w:val="center"/>
              <w:rPr>
                <w:rFonts w:ascii="宋体"/>
                <w:color w:val="auto"/>
                <w:szCs w:val="21"/>
              </w:rPr>
            </w:pPr>
            <w:r>
              <w:rPr>
                <w:rFonts w:hint="eastAsia" w:ascii="宋体" w:hAnsi="宋体"/>
                <w:color w:val="auto"/>
                <w:szCs w:val="21"/>
              </w:rPr>
              <w:t>小计</w:t>
            </w:r>
          </w:p>
        </w:tc>
        <w:tc>
          <w:tcPr>
            <w:tcW w:w="660"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val="en-US" w:eastAsia="zh-CN" w:bidi="ar"/>
              </w:rPr>
              <w:t>16</w:t>
            </w:r>
          </w:p>
        </w:tc>
        <w:tc>
          <w:tcPr>
            <w:tcW w:w="802"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42</w:t>
            </w:r>
            <w:r>
              <w:rPr>
                <w:rFonts w:ascii="Times New Roman" w:hAnsi="Times New Roman"/>
                <w:color w:val="auto"/>
                <w:kern w:val="0"/>
                <w:sz w:val="22"/>
                <w:lang w:bidi="ar"/>
              </w:rPr>
              <w:t>.5</w:t>
            </w:r>
          </w:p>
        </w:tc>
        <w:tc>
          <w:tcPr>
            <w:tcW w:w="1069"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680</w:t>
            </w:r>
          </w:p>
        </w:tc>
        <w:tc>
          <w:tcPr>
            <w:tcW w:w="718"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672</w:t>
            </w:r>
          </w:p>
        </w:tc>
        <w:tc>
          <w:tcPr>
            <w:tcW w:w="1149"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16</w:t>
            </w:r>
          </w:p>
        </w:tc>
        <w:tc>
          <w:tcPr>
            <w:tcW w:w="1005" w:type="dxa"/>
            <w:shd w:val="clear" w:color="auto" w:fill="F2F2F2"/>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1.</w:t>
            </w:r>
            <w:r>
              <w:rPr>
                <w:rFonts w:hint="eastAsia" w:ascii="Times New Roman" w:hAnsi="Times New Roman"/>
                <w:color w:val="auto"/>
                <w:kern w:val="0"/>
                <w:sz w:val="22"/>
                <w:lang w:bidi="ar"/>
              </w:rPr>
              <w:t>18</w:t>
            </w:r>
            <w:r>
              <w:rPr>
                <w:rFonts w:ascii="Times New Roman" w:hAnsi="Times New Roman"/>
                <w:color w:val="auto"/>
                <w:kern w:val="0"/>
                <w:sz w:val="22"/>
                <w:lang w:bidi="ar"/>
              </w:rPr>
              <w:t xml:space="preserve"> </w:t>
            </w:r>
          </w:p>
        </w:tc>
        <w:tc>
          <w:tcPr>
            <w:tcW w:w="1080"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restart"/>
            <w:vAlign w:val="center"/>
          </w:tcPr>
          <w:p>
            <w:pPr>
              <w:adjustRightInd w:val="0"/>
              <w:snapToGrid w:val="0"/>
              <w:spacing w:line="240" w:lineRule="exact"/>
              <w:ind w:left="-60"/>
              <w:jc w:val="center"/>
              <w:rPr>
                <w:rFonts w:ascii="宋体"/>
                <w:color w:val="auto"/>
                <w:szCs w:val="21"/>
              </w:rPr>
            </w:pPr>
            <w:r>
              <w:rPr>
                <w:rFonts w:hint="eastAsia" w:ascii="宋体" w:hAnsi="宋体"/>
                <w:color w:val="auto"/>
                <w:szCs w:val="21"/>
              </w:rPr>
              <w:t>专业教育课程平台</w:t>
            </w:r>
          </w:p>
          <w:p>
            <w:pPr>
              <w:adjustRightInd w:val="0"/>
              <w:snapToGrid w:val="0"/>
              <w:spacing w:line="240" w:lineRule="exact"/>
              <w:ind w:left="-60" w:leftChars="0"/>
              <w:jc w:val="center"/>
              <w:rPr>
                <w:rFonts w:ascii="宋体"/>
                <w:color w:val="auto"/>
                <w:szCs w:val="21"/>
              </w:rPr>
            </w:pPr>
            <w:r>
              <w:rPr>
                <w:rFonts w:hint="eastAsia" w:ascii="宋体" w:hAnsi="宋体"/>
                <w:color w:val="auto"/>
                <w:szCs w:val="21"/>
              </w:rPr>
              <w:t>（</w:t>
            </w:r>
            <w:r>
              <w:rPr>
                <w:rFonts w:hint="eastAsia" w:ascii="宋体" w:hAnsi="宋体"/>
                <w:color w:val="auto"/>
                <w:szCs w:val="21"/>
                <w:lang w:val="en-US" w:eastAsia="zh-CN"/>
              </w:rPr>
              <w:t>15.9</w:t>
            </w:r>
            <w:r>
              <w:rPr>
                <w:rFonts w:ascii="宋体" w:hAnsi="宋体"/>
                <w:color w:val="auto"/>
                <w:szCs w:val="21"/>
              </w:rPr>
              <w:t>%</w:t>
            </w:r>
            <w:r>
              <w:rPr>
                <w:rFonts w:hint="eastAsia" w:ascii="宋体" w:hAnsi="宋体"/>
                <w:color w:val="auto"/>
                <w:szCs w:val="21"/>
              </w:rPr>
              <w:t>）</w:t>
            </w:r>
          </w:p>
        </w:tc>
        <w:tc>
          <w:tcPr>
            <w:tcW w:w="2587" w:type="dxa"/>
            <w:vAlign w:val="center"/>
          </w:tcPr>
          <w:p>
            <w:pPr>
              <w:widowControl/>
              <w:adjustRightInd w:val="0"/>
              <w:snapToGrid w:val="0"/>
              <w:spacing w:line="240" w:lineRule="exact"/>
              <w:jc w:val="center"/>
              <w:rPr>
                <w:rFonts w:ascii="宋体"/>
                <w:color w:val="auto"/>
                <w:szCs w:val="21"/>
              </w:rPr>
            </w:pPr>
            <w:r>
              <w:rPr>
                <w:rFonts w:hint="eastAsia" w:ascii="宋体" w:hAnsi="宋体"/>
                <w:color w:val="auto"/>
                <w:szCs w:val="21"/>
              </w:rPr>
              <w:t>专业核心课程模块</w:t>
            </w:r>
          </w:p>
        </w:tc>
        <w:tc>
          <w:tcPr>
            <w:tcW w:w="660"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val="en-US" w:eastAsia="zh-CN" w:bidi="ar"/>
              </w:rPr>
              <w:t>8</w:t>
            </w:r>
          </w:p>
        </w:tc>
        <w:tc>
          <w:tcPr>
            <w:tcW w:w="802"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15</w:t>
            </w:r>
          </w:p>
        </w:tc>
        <w:tc>
          <w:tcPr>
            <w:tcW w:w="1069"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240</w:t>
            </w:r>
          </w:p>
        </w:tc>
        <w:tc>
          <w:tcPr>
            <w:tcW w:w="718"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240</w:t>
            </w:r>
          </w:p>
        </w:tc>
        <w:tc>
          <w:tcPr>
            <w:tcW w:w="1149"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0</w:t>
            </w:r>
          </w:p>
        </w:tc>
        <w:tc>
          <w:tcPr>
            <w:tcW w:w="1005"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0</w:t>
            </w:r>
            <w:r>
              <w:rPr>
                <w:rFonts w:ascii="Times New Roman" w:hAnsi="Times New Roman"/>
                <w:color w:val="auto"/>
                <w:kern w:val="0"/>
                <w:sz w:val="22"/>
                <w:lang w:bidi="ar"/>
              </w:rPr>
              <w:t xml:space="preserve"> </w:t>
            </w:r>
          </w:p>
        </w:tc>
        <w:tc>
          <w:tcPr>
            <w:tcW w:w="1080"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0</w:t>
            </w:r>
            <w:r>
              <w:rPr>
                <w:rFonts w:ascii="Times New Roman" w:hAnsi="Times New Roman"/>
                <w:color w:val="auto"/>
                <w:kern w:val="0"/>
                <w:sz w:val="2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vAlign w:val="center"/>
          </w:tcPr>
          <w:p>
            <w:pPr>
              <w:widowControl/>
              <w:adjustRightInd w:val="0"/>
              <w:snapToGrid w:val="0"/>
              <w:spacing w:line="240" w:lineRule="exact"/>
              <w:jc w:val="center"/>
              <w:rPr>
                <w:rFonts w:ascii="宋体"/>
                <w:color w:val="auto"/>
                <w:szCs w:val="21"/>
              </w:rPr>
            </w:pPr>
            <w:r>
              <w:rPr>
                <w:rFonts w:hint="eastAsia" w:ascii="宋体" w:hAnsi="宋体"/>
                <w:color w:val="auto"/>
                <w:szCs w:val="21"/>
              </w:rPr>
              <w:t>专业选修课程模块</w:t>
            </w:r>
          </w:p>
        </w:tc>
        <w:tc>
          <w:tcPr>
            <w:tcW w:w="660" w:type="dxa"/>
            <w:vAlign w:val="center"/>
          </w:tcPr>
          <w:p>
            <w:pPr>
              <w:widowControl/>
              <w:jc w:val="center"/>
              <w:textAlignment w:val="center"/>
              <w:rPr>
                <w:rFonts w:ascii="宋体" w:hAnsi="宋体"/>
                <w:color w:val="auto"/>
                <w:szCs w:val="21"/>
              </w:rPr>
            </w:pPr>
            <w:r>
              <w:rPr>
                <w:rFonts w:hint="eastAsia" w:ascii="Times New Roman" w:hAnsi="Times New Roman"/>
                <w:color w:val="auto"/>
                <w:szCs w:val="21"/>
                <w:lang w:val="en-US" w:eastAsia="zh-CN"/>
              </w:rPr>
              <w:t>23</w:t>
            </w:r>
          </w:p>
        </w:tc>
        <w:tc>
          <w:tcPr>
            <w:tcW w:w="802" w:type="dxa"/>
            <w:vAlign w:val="center"/>
          </w:tcPr>
          <w:p>
            <w:pPr>
              <w:widowControl/>
              <w:jc w:val="center"/>
              <w:textAlignment w:val="center"/>
              <w:rPr>
                <w:rFonts w:ascii="宋体" w:hAnsi="宋体"/>
                <w:color w:val="auto"/>
                <w:szCs w:val="21"/>
              </w:rPr>
            </w:pPr>
            <w:r>
              <w:rPr>
                <w:rFonts w:hint="eastAsia" w:ascii="Times New Roman" w:hAnsi="Times New Roman"/>
                <w:color w:val="auto"/>
                <w:szCs w:val="21"/>
              </w:rPr>
              <w:t>1</w:t>
            </w:r>
            <w:r>
              <w:rPr>
                <w:rFonts w:hint="eastAsia" w:ascii="Times New Roman" w:hAnsi="Times New Roman"/>
                <w:color w:val="auto"/>
                <w:szCs w:val="21"/>
                <w:lang w:val="en-US" w:eastAsia="zh-CN"/>
              </w:rPr>
              <w:t>2</w:t>
            </w:r>
            <w:r>
              <w:rPr>
                <w:rFonts w:hint="eastAsia" w:ascii="Times New Roman" w:hAnsi="Times New Roman"/>
                <w:color w:val="auto"/>
                <w:szCs w:val="21"/>
              </w:rPr>
              <w:t>.5</w:t>
            </w:r>
          </w:p>
        </w:tc>
        <w:tc>
          <w:tcPr>
            <w:tcW w:w="1069" w:type="dxa"/>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kern w:val="0"/>
                <w:sz w:val="22"/>
                <w:lang w:val="en-US" w:eastAsia="zh-CN" w:bidi="ar"/>
              </w:rPr>
              <w:t>200</w:t>
            </w:r>
          </w:p>
        </w:tc>
        <w:tc>
          <w:tcPr>
            <w:tcW w:w="718" w:type="dxa"/>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kern w:val="0"/>
                <w:sz w:val="22"/>
                <w:lang w:bidi="ar"/>
              </w:rPr>
              <w:t>1</w:t>
            </w:r>
            <w:r>
              <w:rPr>
                <w:rFonts w:hint="eastAsia" w:ascii="Times New Roman" w:hAnsi="Times New Roman"/>
                <w:color w:val="auto"/>
                <w:kern w:val="0"/>
                <w:sz w:val="22"/>
                <w:lang w:val="en-US" w:eastAsia="zh-CN" w:bidi="ar"/>
              </w:rPr>
              <w:t>76</w:t>
            </w:r>
          </w:p>
        </w:tc>
        <w:tc>
          <w:tcPr>
            <w:tcW w:w="1149" w:type="dxa"/>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16</w:t>
            </w:r>
            <w:r>
              <w:rPr>
                <w:rFonts w:ascii="Times New Roman" w:hAnsi="Times New Roman"/>
                <w:color w:val="auto"/>
                <w:kern w:val="0"/>
                <w:sz w:val="22"/>
                <w:lang w:bidi="ar"/>
              </w:rPr>
              <w:t>+1w</w:t>
            </w:r>
          </w:p>
        </w:tc>
        <w:tc>
          <w:tcPr>
            <w:tcW w:w="1005" w:type="dxa"/>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szCs w:val="21"/>
              </w:rPr>
              <w:t>1</w:t>
            </w:r>
            <w:r>
              <w:rPr>
                <w:rFonts w:hint="eastAsia" w:ascii="Times New Roman" w:hAnsi="Times New Roman"/>
                <w:color w:val="auto"/>
                <w:szCs w:val="21"/>
                <w:lang w:val="en-US" w:eastAsia="zh-CN"/>
              </w:rPr>
              <w:t>2</w:t>
            </w:r>
            <w:r>
              <w:rPr>
                <w:rFonts w:hint="eastAsia" w:ascii="Times New Roman" w:hAnsi="Times New Roman"/>
                <w:color w:val="auto"/>
                <w:szCs w:val="21"/>
              </w:rPr>
              <w:t>.</w:t>
            </w:r>
            <w:r>
              <w:rPr>
                <w:rFonts w:hint="eastAsia" w:ascii="Times New Roman" w:hAnsi="Times New Roman"/>
                <w:color w:val="auto"/>
                <w:szCs w:val="21"/>
                <w:lang w:val="en-US" w:eastAsia="zh-CN"/>
              </w:rPr>
              <w:t>00</w:t>
            </w:r>
          </w:p>
        </w:tc>
        <w:tc>
          <w:tcPr>
            <w:tcW w:w="1080" w:type="dxa"/>
            <w:vAlign w:val="center"/>
          </w:tcPr>
          <w:p>
            <w:pPr>
              <w:widowControl/>
              <w:jc w:val="center"/>
              <w:textAlignment w:val="center"/>
              <w:rPr>
                <w:rFonts w:ascii="宋体" w:hAnsi="宋体"/>
                <w:color w:val="auto"/>
                <w:szCs w:val="21"/>
              </w:rPr>
            </w:pPr>
            <w:r>
              <w:rPr>
                <w:rFonts w:ascii="Times New Roman" w:hAnsi="Times New Roman"/>
                <w:color w:val="auto"/>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jc w:val="center"/>
              <w:rPr>
                <w:rFonts w:ascii="宋体"/>
                <w:color w:val="auto"/>
                <w:szCs w:val="21"/>
              </w:rPr>
            </w:pPr>
          </w:p>
        </w:tc>
        <w:tc>
          <w:tcPr>
            <w:tcW w:w="2587" w:type="dxa"/>
            <w:shd w:val="clear" w:color="auto" w:fill="F2F2F2"/>
            <w:vAlign w:val="center"/>
          </w:tcPr>
          <w:p>
            <w:pPr>
              <w:adjustRightInd w:val="0"/>
              <w:snapToGrid w:val="0"/>
              <w:spacing w:line="240" w:lineRule="exact"/>
              <w:jc w:val="center"/>
              <w:rPr>
                <w:rFonts w:ascii="宋体"/>
                <w:color w:val="auto"/>
                <w:szCs w:val="21"/>
              </w:rPr>
            </w:pPr>
            <w:r>
              <w:rPr>
                <w:rFonts w:hint="eastAsia" w:ascii="宋体" w:hAnsi="宋体"/>
                <w:color w:val="auto"/>
                <w:szCs w:val="21"/>
              </w:rPr>
              <w:t>小计</w:t>
            </w:r>
          </w:p>
        </w:tc>
        <w:tc>
          <w:tcPr>
            <w:tcW w:w="660"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val="en-US" w:eastAsia="zh-CN" w:bidi="ar"/>
              </w:rPr>
              <w:t>31</w:t>
            </w:r>
          </w:p>
        </w:tc>
        <w:tc>
          <w:tcPr>
            <w:tcW w:w="802"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2</w:t>
            </w:r>
            <w:r>
              <w:rPr>
                <w:rFonts w:hint="eastAsia" w:ascii="Times New Roman" w:hAnsi="Times New Roman"/>
                <w:color w:val="auto"/>
                <w:kern w:val="0"/>
                <w:sz w:val="22"/>
                <w:lang w:val="en-US" w:eastAsia="zh-CN" w:bidi="ar"/>
              </w:rPr>
              <w:t>7</w:t>
            </w:r>
            <w:r>
              <w:rPr>
                <w:rFonts w:hint="eastAsia" w:ascii="Times New Roman" w:hAnsi="Times New Roman"/>
                <w:color w:val="auto"/>
                <w:kern w:val="0"/>
                <w:sz w:val="22"/>
                <w:lang w:bidi="ar"/>
              </w:rPr>
              <w:t>.5</w:t>
            </w:r>
          </w:p>
        </w:tc>
        <w:tc>
          <w:tcPr>
            <w:tcW w:w="1069" w:type="dxa"/>
            <w:shd w:val="clear" w:color="auto" w:fill="F2F2F2"/>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kern w:val="0"/>
                <w:sz w:val="22"/>
                <w:lang w:bidi="ar"/>
              </w:rPr>
              <w:t>4</w:t>
            </w:r>
            <w:r>
              <w:rPr>
                <w:rFonts w:hint="eastAsia" w:ascii="Times New Roman" w:hAnsi="Times New Roman"/>
                <w:color w:val="auto"/>
                <w:kern w:val="0"/>
                <w:sz w:val="22"/>
                <w:lang w:val="en-US" w:eastAsia="zh-CN" w:bidi="ar"/>
              </w:rPr>
              <w:t>40</w:t>
            </w:r>
          </w:p>
        </w:tc>
        <w:tc>
          <w:tcPr>
            <w:tcW w:w="718" w:type="dxa"/>
            <w:shd w:val="clear" w:color="auto" w:fill="F2F2F2"/>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kern w:val="0"/>
                <w:sz w:val="22"/>
                <w:lang w:val="en-US" w:eastAsia="zh-CN" w:bidi="ar"/>
              </w:rPr>
              <w:t>416</w:t>
            </w:r>
          </w:p>
        </w:tc>
        <w:tc>
          <w:tcPr>
            <w:tcW w:w="1149" w:type="dxa"/>
            <w:shd w:val="clear" w:color="auto" w:fill="F2F2F2"/>
            <w:vAlign w:val="center"/>
          </w:tcPr>
          <w:p>
            <w:pPr>
              <w:widowControl/>
              <w:jc w:val="center"/>
              <w:textAlignment w:val="center"/>
              <w:rPr>
                <w:rFonts w:ascii="宋体" w:hAnsi="宋体"/>
                <w:color w:val="auto"/>
                <w:szCs w:val="21"/>
              </w:rPr>
            </w:pPr>
            <w:r>
              <w:rPr>
                <w:rFonts w:hint="eastAsia" w:ascii="Times New Roman" w:hAnsi="Times New Roman"/>
                <w:color w:val="auto"/>
                <w:kern w:val="0"/>
                <w:sz w:val="22"/>
                <w:lang w:bidi="ar"/>
              </w:rPr>
              <w:t>16</w:t>
            </w:r>
            <w:r>
              <w:rPr>
                <w:rFonts w:ascii="Times New Roman" w:hAnsi="Times New Roman"/>
                <w:color w:val="auto"/>
                <w:kern w:val="0"/>
                <w:sz w:val="22"/>
                <w:lang w:bidi="ar"/>
              </w:rPr>
              <w:t>+1w</w:t>
            </w:r>
          </w:p>
        </w:tc>
        <w:tc>
          <w:tcPr>
            <w:tcW w:w="1005" w:type="dxa"/>
            <w:shd w:val="clear" w:color="auto" w:fill="F2F2F2"/>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szCs w:val="21"/>
              </w:rPr>
              <w:t>5.</w:t>
            </w:r>
            <w:r>
              <w:rPr>
                <w:rFonts w:hint="eastAsia" w:ascii="Times New Roman" w:hAnsi="Times New Roman"/>
                <w:color w:val="auto"/>
                <w:szCs w:val="21"/>
                <w:lang w:val="en-US" w:eastAsia="zh-CN"/>
              </w:rPr>
              <w:t>46</w:t>
            </w:r>
          </w:p>
        </w:tc>
        <w:tc>
          <w:tcPr>
            <w:tcW w:w="1080" w:type="dxa"/>
            <w:shd w:val="clear" w:color="auto" w:fill="F2F2F2"/>
            <w:vAlign w:val="center"/>
          </w:tcPr>
          <w:p>
            <w:pPr>
              <w:widowControl/>
              <w:jc w:val="center"/>
              <w:textAlignment w:val="center"/>
              <w:rPr>
                <w:rFonts w:hint="default" w:ascii="宋体" w:hAnsi="宋体" w:eastAsia="宋体"/>
                <w:color w:val="auto"/>
                <w:szCs w:val="21"/>
                <w:lang w:val="en-US" w:eastAsia="zh-CN"/>
              </w:rPr>
            </w:pPr>
            <w:r>
              <w:rPr>
                <w:rFonts w:hint="eastAsia" w:ascii="Times New Roman" w:hAnsi="Times New Roman"/>
                <w:color w:val="auto"/>
                <w:kern w:val="0"/>
                <w:sz w:val="22"/>
                <w:lang w:val="en-US" w:eastAsia="zh-CN" w:bidi="ar"/>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restart"/>
            <w:vAlign w:val="center"/>
          </w:tcPr>
          <w:p>
            <w:pPr>
              <w:adjustRightInd w:val="0"/>
              <w:snapToGrid w:val="0"/>
              <w:spacing w:line="240" w:lineRule="exact"/>
              <w:ind w:left="-60"/>
              <w:jc w:val="center"/>
              <w:rPr>
                <w:rFonts w:ascii="宋体"/>
                <w:color w:val="auto"/>
                <w:szCs w:val="21"/>
              </w:rPr>
            </w:pPr>
            <w:r>
              <w:rPr>
                <w:rFonts w:hint="eastAsia" w:ascii="宋体" w:hAnsi="宋体"/>
                <w:color w:val="auto"/>
                <w:szCs w:val="21"/>
              </w:rPr>
              <w:t>实践教学课程平台</w:t>
            </w:r>
          </w:p>
          <w:p>
            <w:pPr>
              <w:adjustRightInd w:val="0"/>
              <w:snapToGrid w:val="0"/>
              <w:spacing w:line="240" w:lineRule="exact"/>
              <w:ind w:left="-60" w:leftChars="0"/>
              <w:jc w:val="center"/>
              <w:rPr>
                <w:rFonts w:ascii="宋体"/>
                <w:color w:val="auto"/>
                <w:szCs w:val="21"/>
              </w:rPr>
            </w:pPr>
            <w:r>
              <w:rPr>
                <w:rFonts w:hint="eastAsia" w:ascii="宋体" w:hAnsi="宋体"/>
                <w:color w:val="auto"/>
                <w:szCs w:val="21"/>
              </w:rPr>
              <w:t>（</w:t>
            </w:r>
            <w:r>
              <w:rPr>
                <w:rFonts w:hint="eastAsia" w:ascii="宋体" w:hAnsi="宋体"/>
                <w:color w:val="auto"/>
                <w:szCs w:val="21"/>
                <w:lang w:val="en-US" w:eastAsia="zh-CN"/>
              </w:rPr>
              <w:t>25.4</w:t>
            </w:r>
            <w:r>
              <w:rPr>
                <w:rFonts w:ascii="宋体" w:hAnsi="宋体"/>
                <w:color w:val="auto"/>
                <w:szCs w:val="21"/>
              </w:rPr>
              <w:t>%</w:t>
            </w:r>
            <w:r>
              <w:rPr>
                <w:rFonts w:hint="eastAsia" w:ascii="宋体" w:hAnsi="宋体"/>
                <w:color w:val="auto"/>
                <w:szCs w:val="21"/>
              </w:rPr>
              <w:t>）</w:t>
            </w:r>
          </w:p>
        </w:tc>
        <w:tc>
          <w:tcPr>
            <w:tcW w:w="2587" w:type="dxa"/>
            <w:vAlign w:val="center"/>
          </w:tcPr>
          <w:p>
            <w:pPr>
              <w:widowControl/>
              <w:adjustRightInd w:val="0"/>
              <w:snapToGrid w:val="0"/>
              <w:spacing w:line="240" w:lineRule="exact"/>
              <w:jc w:val="center"/>
              <w:rPr>
                <w:rFonts w:ascii="宋体"/>
                <w:color w:val="auto"/>
                <w:szCs w:val="21"/>
              </w:rPr>
            </w:pPr>
            <w:r>
              <w:rPr>
                <w:rFonts w:hint="eastAsia" w:ascii="宋体" w:hAnsi="宋体"/>
                <w:color w:val="auto"/>
                <w:szCs w:val="21"/>
              </w:rPr>
              <w:t>专业实践课程模块</w:t>
            </w:r>
          </w:p>
        </w:tc>
        <w:tc>
          <w:tcPr>
            <w:tcW w:w="660" w:type="dxa"/>
            <w:vAlign w:val="center"/>
          </w:tcPr>
          <w:p>
            <w:pPr>
              <w:widowControl/>
              <w:jc w:val="center"/>
              <w:textAlignment w:val="center"/>
              <w:rPr>
                <w:rFonts w:ascii="Times New Roman" w:hAnsi="Times New Roman"/>
                <w:color w:val="auto"/>
                <w:szCs w:val="21"/>
              </w:rPr>
            </w:pPr>
            <w:r>
              <w:rPr>
                <w:rFonts w:hint="eastAsia" w:ascii="Times New Roman" w:hAnsi="Times New Roman"/>
                <w:color w:val="auto"/>
                <w:kern w:val="0"/>
                <w:sz w:val="22"/>
                <w:lang w:val="en-US" w:eastAsia="zh-CN" w:bidi="ar"/>
              </w:rPr>
              <w:t>17</w:t>
            </w:r>
          </w:p>
        </w:tc>
        <w:tc>
          <w:tcPr>
            <w:tcW w:w="802" w:type="dxa"/>
            <w:vAlign w:val="center"/>
          </w:tcPr>
          <w:p>
            <w:pPr>
              <w:widowControl/>
              <w:jc w:val="center"/>
              <w:textAlignment w:val="center"/>
              <w:rPr>
                <w:rFonts w:ascii="Times New Roman" w:hAnsi="Times New Roman"/>
                <w:color w:val="auto"/>
                <w:szCs w:val="21"/>
              </w:rPr>
            </w:pPr>
            <w:r>
              <w:rPr>
                <w:rFonts w:hint="eastAsia" w:ascii="Times New Roman" w:hAnsi="Times New Roman"/>
                <w:color w:val="auto"/>
                <w:kern w:val="0"/>
                <w:sz w:val="22"/>
                <w:lang w:bidi="ar"/>
              </w:rPr>
              <w:t>42</w:t>
            </w:r>
          </w:p>
        </w:tc>
        <w:tc>
          <w:tcPr>
            <w:tcW w:w="1069" w:type="dxa"/>
            <w:vAlign w:val="center"/>
          </w:tcPr>
          <w:p>
            <w:pPr>
              <w:widowControl/>
              <w:jc w:val="center"/>
              <w:textAlignment w:val="center"/>
              <w:rPr>
                <w:rFonts w:ascii="Times New Roman" w:hAnsi="Times New Roman"/>
                <w:color w:val="auto"/>
                <w:szCs w:val="21"/>
              </w:rPr>
            </w:pPr>
            <w:r>
              <w:rPr>
                <w:rFonts w:hint="eastAsia" w:ascii="Times New Roman" w:hAnsi="Times New Roman"/>
                <w:color w:val="auto"/>
                <w:kern w:val="0"/>
                <w:sz w:val="22"/>
                <w:lang w:bidi="ar"/>
              </w:rPr>
              <w:t>672</w:t>
            </w:r>
          </w:p>
        </w:tc>
        <w:tc>
          <w:tcPr>
            <w:tcW w:w="718" w:type="dxa"/>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32</w:t>
            </w:r>
          </w:p>
        </w:tc>
        <w:tc>
          <w:tcPr>
            <w:tcW w:w="1149" w:type="dxa"/>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3</w:t>
            </w:r>
            <w:r>
              <w:rPr>
                <w:rFonts w:hint="eastAsia" w:ascii="Times New Roman" w:hAnsi="Times New Roman"/>
                <w:color w:val="auto"/>
                <w:kern w:val="0"/>
                <w:sz w:val="22"/>
                <w:lang w:bidi="ar"/>
              </w:rPr>
              <w:t>52</w:t>
            </w:r>
            <w:r>
              <w:rPr>
                <w:rFonts w:ascii="Times New Roman" w:hAnsi="Times New Roman"/>
                <w:color w:val="auto"/>
                <w:kern w:val="0"/>
                <w:sz w:val="22"/>
                <w:lang w:bidi="ar"/>
              </w:rPr>
              <w:t>+2</w:t>
            </w:r>
            <w:r>
              <w:rPr>
                <w:rFonts w:hint="eastAsia" w:ascii="Times New Roman" w:hAnsi="Times New Roman"/>
                <w:color w:val="auto"/>
                <w:kern w:val="0"/>
                <w:sz w:val="22"/>
                <w:lang w:bidi="ar"/>
              </w:rPr>
              <w:t>9</w:t>
            </w:r>
            <w:r>
              <w:rPr>
                <w:rFonts w:ascii="Times New Roman" w:hAnsi="Times New Roman"/>
                <w:color w:val="auto"/>
                <w:kern w:val="0"/>
                <w:sz w:val="22"/>
                <w:lang w:bidi="ar"/>
              </w:rPr>
              <w:t>w</w:t>
            </w:r>
          </w:p>
        </w:tc>
        <w:tc>
          <w:tcPr>
            <w:tcW w:w="1005" w:type="dxa"/>
            <w:vAlign w:val="center"/>
          </w:tcPr>
          <w:p>
            <w:pPr>
              <w:widowControl/>
              <w:jc w:val="center"/>
              <w:textAlignment w:val="center"/>
              <w:rPr>
                <w:rFonts w:ascii="宋体" w:hAnsi="宋体" w:cs="宋体"/>
                <w:color w:val="auto"/>
                <w:szCs w:val="21"/>
              </w:rPr>
            </w:pPr>
            <w:r>
              <w:rPr>
                <w:rFonts w:ascii="Times New Roman" w:hAnsi="Times New Roman"/>
                <w:color w:val="auto"/>
                <w:kern w:val="0"/>
                <w:sz w:val="22"/>
                <w:lang w:bidi="ar"/>
              </w:rPr>
              <w:t>9</w:t>
            </w:r>
            <w:r>
              <w:rPr>
                <w:rFonts w:hint="eastAsia" w:ascii="Times New Roman" w:hAnsi="Times New Roman"/>
                <w:color w:val="auto"/>
                <w:kern w:val="0"/>
                <w:sz w:val="22"/>
                <w:lang w:bidi="ar"/>
              </w:rPr>
              <w:t>5</w:t>
            </w:r>
            <w:r>
              <w:rPr>
                <w:rFonts w:ascii="Times New Roman" w:hAnsi="Times New Roman"/>
                <w:color w:val="auto"/>
                <w:kern w:val="0"/>
                <w:sz w:val="22"/>
                <w:lang w:bidi="ar"/>
              </w:rPr>
              <w:t>.</w:t>
            </w:r>
            <w:r>
              <w:rPr>
                <w:rFonts w:hint="eastAsia" w:ascii="Times New Roman" w:hAnsi="Times New Roman"/>
                <w:color w:val="auto"/>
                <w:kern w:val="0"/>
                <w:sz w:val="22"/>
                <w:lang w:bidi="ar"/>
              </w:rPr>
              <w:t>24</w:t>
            </w:r>
            <w:r>
              <w:rPr>
                <w:rFonts w:ascii="Times New Roman" w:hAnsi="Times New Roman"/>
                <w:color w:val="auto"/>
                <w:kern w:val="0"/>
                <w:sz w:val="22"/>
                <w:lang w:bidi="ar"/>
              </w:rPr>
              <w:t xml:space="preserve"> </w:t>
            </w:r>
          </w:p>
        </w:tc>
        <w:tc>
          <w:tcPr>
            <w:tcW w:w="1080"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kern w:val="0"/>
                <w:sz w:val="22"/>
                <w:lang w:val="en-US" w:eastAsia="zh-CN" w:bidi="ar"/>
              </w:rPr>
              <w:t>97.56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rPr>
                <w:rFonts w:ascii="宋体"/>
                <w:color w:val="auto"/>
                <w:szCs w:val="21"/>
              </w:rPr>
            </w:pPr>
          </w:p>
        </w:tc>
        <w:tc>
          <w:tcPr>
            <w:tcW w:w="2587" w:type="dxa"/>
            <w:vAlign w:val="center"/>
          </w:tcPr>
          <w:p>
            <w:pPr>
              <w:adjustRightInd w:val="0"/>
              <w:snapToGrid w:val="0"/>
              <w:spacing w:line="240" w:lineRule="exact"/>
              <w:jc w:val="center"/>
              <w:rPr>
                <w:rFonts w:ascii="宋体"/>
                <w:color w:val="auto"/>
                <w:szCs w:val="21"/>
              </w:rPr>
            </w:pPr>
            <w:r>
              <w:rPr>
                <w:rFonts w:hint="eastAsia" w:ascii="宋体" w:hAnsi="宋体"/>
                <w:color w:val="auto"/>
                <w:szCs w:val="21"/>
              </w:rPr>
              <w:t>创新创业课程模块</w:t>
            </w:r>
          </w:p>
        </w:tc>
        <w:tc>
          <w:tcPr>
            <w:tcW w:w="660" w:type="dxa"/>
            <w:vAlign w:val="center"/>
          </w:tcPr>
          <w:p>
            <w:pPr>
              <w:widowControl/>
              <w:jc w:val="center"/>
              <w:textAlignment w:val="center"/>
              <w:rPr>
                <w:rFonts w:ascii="Times New Roman" w:hAnsi="Times New Roman"/>
                <w:color w:val="auto"/>
                <w:szCs w:val="21"/>
              </w:rPr>
            </w:pPr>
            <w:r>
              <w:rPr>
                <w:rFonts w:hint="eastAsia" w:ascii="Times New Roman" w:hAnsi="Times New Roman"/>
                <w:color w:val="auto"/>
                <w:kern w:val="0"/>
                <w:sz w:val="22"/>
                <w:lang w:val="en-US" w:eastAsia="zh-CN" w:bidi="ar"/>
              </w:rPr>
              <w:t>4</w:t>
            </w:r>
          </w:p>
        </w:tc>
        <w:tc>
          <w:tcPr>
            <w:tcW w:w="802" w:type="dxa"/>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2</w:t>
            </w:r>
          </w:p>
        </w:tc>
        <w:tc>
          <w:tcPr>
            <w:tcW w:w="1069" w:type="dxa"/>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32</w:t>
            </w:r>
          </w:p>
        </w:tc>
        <w:tc>
          <w:tcPr>
            <w:tcW w:w="718" w:type="dxa"/>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8</w:t>
            </w:r>
          </w:p>
        </w:tc>
        <w:tc>
          <w:tcPr>
            <w:tcW w:w="1149" w:type="dxa"/>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48</w:t>
            </w:r>
          </w:p>
        </w:tc>
        <w:tc>
          <w:tcPr>
            <w:tcW w:w="1005" w:type="dxa"/>
            <w:vAlign w:val="center"/>
          </w:tcPr>
          <w:p>
            <w:pPr>
              <w:widowControl/>
              <w:jc w:val="center"/>
              <w:textAlignment w:val="center"/>
              <w:rPr>
                <w:rFonts w:ascii="宋体" w:hAnsi="宋体" w:cs="宋体"/>
                <w:color w:val="auto"/>
                <w:szCs w:val="21"/>
              </w:rPr>
            </w:pPr>
            <w:r>
              <w:rPr>
                <w:rFonts w:ascii="Times New Roman" w:hAnsi="Times New Roman"/>
                <w:color w:val="auto"/>
                <w:kern w:val="0"/>
                <w:sz w:val="22"/>
                <w:lang w:bidi="ar"/>
              </w:rPr>
              <w:t>75</w:t>
            </w:r>
            <w:r>
              <w:rPr>
                <w:rFonts w:hint="eastAsia" w:ascii="Times New Roman" w:hAnsi="Times New Roman"/>
                <w:color w:val="auto"/>
                <w:kern w:val="0"/>
                <w:sz w:val="22"/>
                <w:lang w:bidi="ar"/>
              </w:rPr>
              <w:t>.00</w:t>
            </w:r>
          </w:p>
        </w:tc>
        <w:tc>
          <w:tcPr>
            <w:tcW w:w="1080"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kern w:val="0"/>
                <w:sz w:val="22"/>
                <w:lang w:val="en-US" w:eastAsia="zh-CN" w:bidi="ar"/>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258" w:type="dxa"/>
            <w:vMerge w:val="continue"/>
            <w:vAlign w:val="center"/>
          </w:tcPr>
          <w:p>
            <w:pPr>
              <w:adjustRightInd w:val="0"/>
              <w:snapToGrid w:val="0"/>
              <w:spacing w:line="240" w:lineRule="exact"/>
              <w:ind w:left="-60"/>
              <w:rPr>
                <w:rFonts w:ascii="宋体"/>
                <w:color w:val="auto"/>
                <w:szCs w:val="21"/>
              </w:rPr>
            </w:pPr>
          </w:p>
        </w:tc>
        <w:tc>
          <w:tcPr>
            <w:tcW w:w="2587" w:type="dxa"/>
            <w:shd w:val="clear" w:color="auto" w:fill="F2F2F2"/>
            <w:vAlign w:val="center"/>
          </w:tcPr>
          <w:p>
            <w:pPr>
              <w:adjustRightInd w:val="0"/>
              <w:snapToGrid w:val="0"/>
              <w:spacing w:line="240" w:lineRule="exact"/>
              <w:jc w:val="center"/>
              <w:rPr>
                <w:rFonts w:ascii="宋体"/>
                <w:color w:val="auto"/>
                <w:szCs w:val="21"/>
              </w:rPr>
            </w:pPr>
            <w:r>
              <w:rPr>
                <w:rFonts w:hint="eastAsia" w:ascii="宋体" w:hAnsi="宋体"/>
                <w:color w:val="auto"/>
                <w:szCs w:val="21"/>
              </w:rPr>
              <w:t>小计</w:t>
            </w:r>
          </w:p>
        </w:tc>
        <w:tc>
          <w:tcPr>
            <w:tcW w:w="660" w:type="dxa"/>
            <w:shd w:val="clear" w:color="auto" w:fill="F2F2F2"/>
            <w:vAlign w:val="top"/>
          </w:tcPr>
          <w:p>
            <w:pPr>
              <w:widowControl/>
              <w:jc w:val="center"/>
              <w:textAlignment w:val="top"/>
              <w:rPr>
                <w:rFonts w:ascii="Times New Roman" w:hAnsi="Times New Roman"/>
                <w:color w:val="auto"/>
                <w:szCs w:val="21"/>
              </w:rPr>
            </w:pPr>
            <w:r>
              <w:rPr>
                <w:rFonts w:hint="eastAsia" w:ascii="Times New Roman" w:hAnsi="Times New Roman"/>
                <w:color w:val="auto"/>
                <w:kern w:val="0"/>
                <w:sz w:val="22"/>
                <w:lang w:val="en-US" w:eastAsia="zh-CN" w:bidi="ar"/>
              </w:rPr>
              <w:t>21</w:t>
            </w:r>
          </w:p>
        </w:tc>
        <w:tc>
          <w:tcPr>
            <w:tcW w:w="802" w:type="dxa"/>
            <w:shd w:val="clear" w:color="auto" w:fill="F2F2F2"/>
            <w:vAlign w:val="top"/>
          </w:tcPr>
          <w:p>
            <w:pPr>
              <w:widowControl/>
              <w:jc w:val="center"/>
              <w:textAlignment w:val="top"/>
              <w:rPr>
                <w:rFonts w:ascii="Times New Roman" w:hAnsi="Times New Roman"/>
                <w:color w:val="auto"/>
                <w:szCs w:val="21"/>
              </w:rPr>
            </w:pPr>
            <w:r>
              <w:rPr>
                <w:rFonts w:hint="eastAsia" w:ascii="Times New Roman" w:hAnsi="Times New Roman"/>
                <w:color w:val="auto"/>
                <w:kern w:val="0"/>
                <w:sz w:val="22"/>
                <w:lang w:bidi="ar"/>
              </w:rPr>
              <w:t>44</w:t>
            </w:r>
          </w:p>
        </w:tc>
        <w:tc>
          <w:tcPr>
            <w:tcW w:w="1069" w:type="dxa"/>
            <w:shd w:val="clear" w:color="auto" w:fill="F2F2F2"/>
            <w:vAlign w:val="top"/>
          </w:tcPr>
          <w:p>
            <w:pPr>
              <w:widowControl/>
              <w:jc w:val="center"/>
              <w:textAlignment w:val="top"/>
              <w:rPr>
                <w:rFonts w:ascii="Times New Roman" w:hAnsi="Times New Roman"/>
                <w:color w:val="auto"/>
                <w:szCs w:val="21"/>
              </w:rPr>
            </w:pPr>
            <w:r>
              <w:rPr>
                <w:rFonts w:hint="eastAsia" w:ascii="Times New Roman" w:hAnsi="Times New Roman"/>
                <w:color w:val="auto"/>
                <w:kern w:val="0"/>
                <w:sz w:val="22"/>
                <w:lang w:bidi="ar"/>
              </w:rPr>
              <w:t>704</w:t>
            </w:r>
          </w:p>
        </w:tc>
        <w:tc>
          <w:tcPr>
            <w:tcW w:w="718" w:type="dxa"/>
            <w:shd w:val="clear" w:color="auto" w:fill="F2F2F2"/>
            <w:vAlign w:val="top"/>
          </w:tcPr>
          <w:p>
            <w:pPr>
              <w:widowControl/>
              <w:jc w:val="center"/>
              <w:textAlignment w:val="top"/>
              <w:rPr>
                <w:rFonts w:ascii="Times New Roman" w:hAnsi="Times New Roman"/>
                <w:color w:val="auto"/>
                <w:szCs w:val="21"/>
              </w:rPr>
            </w:pPr>
            <w:r>
              <w:rPr>
                <w:rFonts w:ascii="Times New Roman" w:hAnsi="Times New Roman"/>
                <w:color w:val="auto"/>
                <w:kern w:val="0"/>
                <w:sz w:val="22"/>
                <w:lang w:bidi="ar"/>
              </w:rPr>
              <w:t>40</w:t>
            </w:r>
          </w:p>
        </w:tc>
        <w:tc>
          <w:tcPr>
            <w:tcW w:w="1149" w:type="dxa"/>
            <w:shd w:val="clear" w:color="auto" w:fill="F2F2F2"/>
            <w:vAlign w:val="top"/>
          </w:tcPr>
          <w:p>
            <w:pPr>
              <w:widowControl/>
              <w:jc w:val="center"/>
              <w:textAlignment w:val="top"/>
              <w:rPr>
                <w:rFonts w:ascii="Times New Roman" w:hAnsi="Times New Roman"/>
                <w:color w:val="auto"/>
                <w:szCs w:val="21"/>
              </w:rPr>
            </w:pPr>
            <w:r>
              <w:rPr>
                <w:rFonts w:hint="eastAsia" w:ascii="Times New Roman" w:hAnsi="Times New Roman"/>
                <w:color w:val="auto"/>
                <w:kern w:val="0"/>
                <w:sz w:val="22"/>
                <w:lang w:bidi="ar"/>
              </w:rPr>
              <w:t>400</w:t>
            </w:r>
            <w:r>
              <w:rPr>
                <w:rFonts w:ascii="Times New Roman" w:hAnsi="Times New Roman"/>
                <w:color w:val="auto"/>
                <w:kern w:val="0"/>
                <w:sz w:val="22"/>
                <w:lang w:bidi="ar"/>
              </w:rPr>
              <w:t>+</w:t>
            </w:r>
            <w:r>
              <w:rPr>
                <w:rFonts w:hint="eastAsia" w:ascii="Times New Roman" w:hAnsi="Times New Roman"/>
                <w:color w:val="auto"/>
                <w:kern w:val="0"/>
                <w:sz w:val="22"/>
                <w:lang w:bidi="ar"/>
              </w:rPr>
              <w:t>29</w:t>
            </w:r>
            <w:r>
              <w:rPr>
                <w:rFonts w:ascii="Times New Roman" w:hAnsi="Times New Roman"/>
                <w:color w:val="auto"/>
                <w:kern w:val="0"/>
                <w:sz w:val="22"/>
                <w:lang w:bidi="ar"/>
              </w:rPr>
              <w:t>w</w:t>
            </w:r>
          </w:p>
        </w:tc>
        <w:tc>
          <w:tcPr>
            <w:tcW w:w="1005" w:type="dxa"/>
            <w:shd w:val="clear" w:color="auto" w:fill="F2F2F2"/>
            <w:vAlign w:val="center"/>
          </w:tcPr>
          <w:p>
            <w:pPr>
              <w:widowControl/>
              <w:jc w:val="center"/>
              <w:textAlignment w:val="center"/>
              <w:rPr>
                <w:rFonts w:ascii="Times New Roman" w:hAnsi="Times New Roman"/>
                <w:color w:val="auto"/>
                <w:szCs w:val="21"/>
              </w:rPr>
            </w:pPr>
            <w:r>
              <w:rPr>
                <w:rFonts w:ascii="Times New Roman" w:hAnsi="Times New Roman"/>
                <w:color w:val="auto"/>
                <w:kern w:val="0"/>
                <w:sz w:val="22"/>
                <w:lang w:bidi="ar"/>
              </w:rPr>
              <w:t>9</w:t>
            </w:r>
            <w:r>
              <w:rPr>
                <w:rFonts w:hint="eastAsia" w:ascii="Times New Roman" w:hAnsi="Times New Roman"/>
                <w:color w:val="auto"/>
                <w:kern w:val="0"/>
                <w:sz w:val="22"/>
                <w:lang w:bidi="ar"/>
              </w:rPr>
              <w:t>4</w:t>
            </w:r>
            <w:r>
              <w:rPr>
                <w:rFonts w:ascii="Times New Roman" w:hAnsi="Times New Roman"/>
                <w:color w:val="auto"/>
                <w:kern w:val="0"/>
                <w:sz w:val="22"/>
                <w:lang w:bidi="ar"/>
              </w:rPr>
              <w:t>.</w:t>
            </w:r>
            <w:r>
              <w:rPr>
                <w:rFonts w:hint="eastAsia" w:ascii="Times New Roman" w:hAnsi="Times New Roman"/>
                <w:color w:val="auto"/>
                <w:kern w:val="0"/>
                <w:sz w:val="22"/>
                <w:lang w:bidi="ar"/>
              </w:rPr>
              <w:t>32</w:t>
            </w:r>
            <w:r>
              <w:rPr>
                <w:rFonts w:ascii="Times New Roman" w:hAnsi="Times New Roman"/>
                <w:color w:val="auto"/>
                <w:kern w:val="0"/>
                <w:sz w:val="22"/>
                <w:lang w:bidi="ar"/>
              </w:rPr>
              <w:t xml:space="preserve"> </w:t>
            </w:r>
          </w:p>
        </w:tc>
        <w:tc>
          <w:tcPr>
            <w:tcW w:w="1080" w:type="dxa"/>
            <w:shd w:val="clear" w:color="auto" w:fill="F2F2F2"/>
            <w:vAlign w:val="top"/>
          </w:tcPr>
          <w:p>
            <w:pPr>
              <w:widowControl/>
              <w:jc w:val="center"/>
              <w:textAlignment w:val="top"/>
              <w:rPr>
                <w:rFonts w:hint="default" w:ascii="Times New Roman" w:hAnsi="Times New Roman" w:eastAsia="宋体"/>
                <w:color w:val="auto"/>
                <w:szCs w:val="21"/>
                <w:lang w:val="en-US" w:eastAsia="zh-CN"/>
              </w:rPr>
            </w:pPr>
            <w:r>
              <w:rPr>
                <w:rFonts w:hint="eastAsia" w:ascii="Times New Roman" w:hAnsi="Times New Roman"/>
                <w:color w:val="auto"/>
                <w:kern w:val="0"/>
                <w:sz w:val="22"/>
                <w:lang w:val="en-US" w:eastAsia="zh-CN" w:bidi="ar"/>
              </w:rPr>
              <w:t>97.08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3845" w:type="dxa"/>
            <w:gridSpan w:val="2"/>
            <w:vAlign w:val="center"/>
          </w:tcPr>
          <w:p>
            <w:pPr>
              <w:adjustRightInd w:val="0"/>
              <w:snapToGrid w:val="0"/>
              <w:spacing w:line="240" w:lineRule="exact"/>
              <w:jc w:val="center"/>
              <w:rPr>
                <w:rFonts w:ascii="宋体"/>
                <w:color w:val="auto"/>
                <w:szCs w:val="21"/>
              </w:rPr>
            </w:pPr>
            <w:r>
              <w:rPr>
                <w:rFonts w:hint="eastAsia" w:ascii="宋体" w:hAnsi="宋体"/>
                <w:color w:val="auto"/>
                <w:szCs w:val="21"/>
              </w:rPr>
              <w:t>总计（</w:t>
            </w:r>
            <w:r>
              <w:rPr>
                <w:rFonts w:ascii="宋体" w:hAnsi="宋体"/>
                <w:color w:val="auto"/>
                <w:szCs w:val="21"/>
              </w:rPr>
              <w:t>100%</w:t>
            </w:r>
            <w:r>
              <w:rPr>
                <w:rFonts w:hint="eastAsia" w:ascii="宋体" w:hAnsi="宋体"/>
                <w:color w:val="auto"/>
                <w:szCs w:val="21"/>
              </w:rPr>
              <w:t>）</w:t>
            </w:r>
          </w:p>
        </w:tc>
        <w:tc>
          <w:tcPr>
            <w:tcW w:w="660" w:type="dxa"/>
            <w:vAlign w:val="center"/>
          </w:tcPr>
          <w:p>
            <w:pPr>
              <w:adjustRightInd w:val="0"/>
              <w:snapToGrid w:val="0"/>
              <w:spacing w:line="240" w:lineRule="exact"/>
              <w:jc w:val="center"/>
              <w:rPr>
                <w:rFonts w:ascii="Times New Roman" w:hAnsi="Times New Roman"/>
                <w:color w:val="auto"/>
                <w:szCs w:val="21"/>
              </w:rPr>
            </w:pPr>
            <w:r>
              <w:rPr>
                <w:rFonts w:hint="eastAsia" w:ascii="Times New Roman" w:hAnsi="Times New Roman"/>
                <w:color w:val="auto"/>
                <w:kern w:val="0"/>
                <w:sz w:val="22"/>
                <w:lang w:val="en-US" w:eastAsia="zh-CN" w:bidi="ar"/>
              </w:rPr>
              <w:t>97</w:t>
            </w:r>
          </w:p>
        </w:tc>
        <w:tc>
          <w:tcPr>
            <w:tcW w:w="802" w:type="dxa"/>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173</w:t>
            </w:r>
          </w:p>
        </w:tc>
        <w:tc>
          <w:tcPr>
            <w:tcW w:w="1069" w:type="dxa"/>
            <w:vAlign w:val="center"/>
          </w:tcPr>
          <w:p>
            <w:pPr>
              <w:jc w:val="center"/>
              <w:rPr>
                <w:rFonts w:hint="default" w:ascii="Times New Roman" w:hAnsi="Times New Roman"/>
                <w:color w:val="auto"/>
                <w:szCs w:val="21"/>
                <w:highlight w:val="none"/>
                <w:lang w:val="en-US"/>
              </w:rPr>
            </w:pPr>
            <w:r>
              <w:rPr>
                <w:rFonts w:hint="eastAsia" w:ascii="Times New Roman" w:hAnsi="Times New Roman"/>
                <w:color w:val="auto"/>
                <w:szCs w:val="21"/>
                <w:highlight w:val="none"/>
                <w:lang w:val="en-US" w:eastAsia="zh-CN"/>
              </w:rPr>
              <w:t>2848</w:t>
            </w:r>
          </w:p>
        </w:tc>
        <w:tc>
          <w:tcPr>
            <w:tcW w:w="718" w:type="dxa"/>
            <w:vAlign w:val="center"/>
          </w:tcPr>
          <w:p>
            <w:pPr>
              <w:jc w:val="center"/>
              <w:rPr>
                <w:rFonts w:ascii="Times New Roman" w:hAnsi="Times New Roman"/>
                <w:color w:val="auto"/>
                <w:szCs w:val="21"/>
                <w:highlight w:val="none"/>
              </w:rPr>
            </w:pPr>
            <w:r>
              <w:rPr>
                <w:rFonts w:hint="eastAsia" w:ascii="Times New Roman" w:hAnsi="Times New Roman"/>
                <w:color w:val="auto"/>
                <w:szCs w:val="21"/>
                <w:highlight w:val="none"/>
                <w:lang w:val="en-US" w:eastAsia="zh-CN"/>
              </w:rPr>
              <w:t>1896</w:t>
            </w:r>
            <w:r>
              <w:rPr>
                <w:rFonts w:ascii="Times New Roman" w:hAnsi="Times New Roman"/>
                <w:color w:val="auto"/>
                <w:szCs w:val="21"/>
                <w:highlight w:val="none"/>
              </w:rPr>
              <w:t>　</w:t>
            </w:r>
          </w:p>
        </w:tc>
        <w:tc>
          <w:tcPr>
            <w:tcW w:w="1149" w:type="dxa"/>
            <w:vAlign w:val="center"/>
          </w:tcPr>
          <w:p>
            <w:pPr>
              <w:jc w:val="center"/>
              <w:rPr>
                <w:rFonts w:ascii="Times New Roman" w:hAnsi="Times New Roman"/>
                <w:color w:val="auto"/>
                <w:szCs w:val="21"/>
                <w:highlight w:val="none"/>
              </w:rPr>
            </w:pPr>
            <w:r>
              <w:rPr>
                <w:rFonts w:hint="eastAsia" w:ascii="Times New Roman" w:hAnsi="Times New Roman"/>
                <w:color w:val="auto"/>
                <w:szCs w:val="21"/>
                <w:highlight w:val="none"/>
                <w:lang w:val="en-US" w:eastAsia="zh-CN"/>
              </w:rPr>
              <w:t>736+32W</w:t>
            </w:r>
          </w:p>
        </w:tc>
        <w:tc>
          <w:tcPr>
            <w:tcW w:w="1005" w:type="dxa"/>
            <w:vAlign w:val="top"/>
          </w:tcPr>
          <w:p>
            <w:pPr>
              <w:jc w:val="center"/>
              <w:rPr>
                <w:rFonts w:hint="default" w:ascii="Times New Roman" w:hAnsi="Times New Roman"/>
                <w:color w:val="auto"/>
                <w:szCs w:val="21"/>
                <w:highlight w:val="none"/>
                <w:lang w:val="en-US"/>
              </w:rPr>
            </w:pPr>
            <w:r>
              <w:rPr>
                <w:rFonts w:hint="eastAsia" w:ascii="Times New Roman" w:hAnsi="Times New Roman"/>
                <w:color w:val="auto"/>
                <w:szCs w:val="21"/>
                <w:highlight w:val="none"/>
                <w:lang w:val="en-US" w:eastAsia="zh-CN"/>
              </w:rPr>
              <w:t>31.79</w:t>
            </w:r>
          </w:p>
        </w:tc>
        <w:tc>
          <w:tcPr>
            <w:tcW w:w="1080" w:type="dxa"/>
            <w:vAlign w:val="center"/>
          </w:tcPr>
          <w:p>
            <w:pPr>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50.10</w:t>
            </w:r>
          </w:p>
        </w:tc>
      </w:tr>
    </w:tbl>
    <w:p>
      <w:pPr>
        <w:spacing w:line="240" w:lineRule="atLeast"/>
        <w:jc w:val="left"/>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标准总学时</w:t>
      </w:r>
      <w:r>
        <w:rPr>
          <w:rFonts w:ascii="宋体" w:hAnsi="宋体"/>
          <w:color w:val="000000"/>
          <w:sz w:val="18"/>
          <w:szCs w:val="18"/>
        </w:rPr>
        <w:t>=</w:t>
      </w:r>
      <w:r>
        <w:rPr>
          <w:rFonts w:hint="eastAsia" w:ascii="宋体" w:hAnsi="宋体"/>
          <w:color w:val="000000"/>
          <w:sz w:val="18"/>
          <w:szCs w:val="18"/>
        </w:rPr>
        <w:t>学分×</w:t>
      </w:r>
      <w:r>
        <w:rPr>
          <w:rFonts w:ascii="宋体" w:hAnsi="宋体"/>
          <w:color w:val="000000"/>
          <w:sz w:val="18"/>
          <w:szCs w:val="18"/>
        </w:rPr>
        <w:t>16=</w:t>
      </w:r>
      <w:r>
        <w:rPr>
          <w:rFonts w:hint="eastAsia" w:ascii="宋体" w:hAnsi="宋体"/>
          <w:color w:val="000000"/>
          <w:sz w:val="18"/>
          <w:szCs w:val="18"/>
        </w:rPr>
        <w:t>理论学时</w:t>
      </w:r>
      <w:r>
        <w:rPr>
          <w:rFonts w:ascii="宋体" w:hAnsi="宋体"/>
          <w:color w:val="000000"/>
          <w:sz w:val="18"/>
          <w:szCs w:val="18"/>
        </w:rPr>
        <w:t>+</w:t>
      </w:r>
      <w:r>
        <w:rPr>
          <w:rFonts w:hint="eastAsia" w:ascii="宋体" w:hAnsi="宋体"/>
          <w:color w:val="000000"/>
          <w:sz w:val="18"/>
          <w:szCs w:val="18"/>
        </w:rPr>
        <w:t>实践学时</w:t>
      </w:r>
      <w:r>
        <w:rPr>
          <w:rFonts w:ascii="宋体" w:hAnsi="宋体"/>
          <w:color w:val="000000"/>
          <w:sz w:val="18"/>
          <w:szCs w:val="18"/>
        </w:rPr>
        <w:t>/2</w:t>
      </w:r>
    </w:p>
    <w:p>
      <w:pPr>
        <w:spacing w:line="240" w:lineRule="atLeast"/>
        <w:ind w:firstLine="360" w:firstLineChars="200"/>
        <w:jc w:val="left"/>
        <w:rPr>
          <w:rFonts w:ascii="宋体" w:hAnsi="宋体"/>
          <w:color w:val="000000"/>
          <w:sz w:val="18"/>
          <w:szCs w:val="18"/>
          <w:highlight w:val="none"/>
        </w:rPr>
      </w:pPr>
      <w:r>
        <w:rPr>
          <w:rFonts w:ascii="宋体" w:hAnsi="宋体"/>
          <w:color w:val="000000"/>
          <w:sz w:val="18"/>
          <w:szCs w:val="18"/>
          <w:highlight w:val="none"/>
        </w:rPr>
        <w:t>2</w:t>
      </w:r>
      <w:r>
        <w:rPr>
          <w:rFonts w:ascii="宋体"/>
          <w:color w:val="000000"/>
          <w:sz w:val="18"/>
          <w:szCs w:val="18"/>
          <w:highlight w:val="none"/>
        </w:rPr>
        <w:t>.</w:t>
      </w:r>
      <w:r>
        <w:rPr>
          <w:rFonts w:hint="eastAsia" w:ascii="宋体" w:hAnsi="宋体"/>
          <w:color w:val="000000"/>
          <w:sz w:val="18"/>
          <w:szCs w:val="18"/>
          <w:highlight w:val="none"/>
        </w:rPr>
        <w:t>本专业标准总学时为</w:t>
      </w:r>
      <w:r>
        <w:rPr>
          <w:rFonts w:hint="eastAsia" w:ascii="宋体" w:hAnsi="宋体"/>
          <w:b/>
          <w:color w:val="000000"/>
          <w:sz w:val="18"/>
          <w:szCs w:val="18"/>
          <w:highlight w:val="none"/>
          <w:lang w:val="en-US" w:eastAsia="zh-CN"/>
        </w:rPr>
        <w:t>2848</w:t>
      </w:r>
      <w:r>
        <w:rPr>
          <w:rFonts w:hint="eastAsia" w:ascii="宋体" w:hAnsi="宋体"/>
          <w:color w:val="000000"/>
          <w:sz w:val="18"/>
          <w:szCs w:val="18"/>
          <w:highlight w:val="none"/>
        </w:rPr>
        <w:t>学时</w:t>
      </w:r>
    </w:p>
    <w:p>
      <w:pPr>
        <w:spacing w:line="240" w:lineRule="atLeast"/>
        <w:ind w:firstLine="360" w:firstLineChars="200"/>
        <w:jc w:val="left"/>
        <w:rPr>
          <w:rFonts w:ascii="宋体"/>
          <w:color w:val="000000"/>
          <w:sz w:val="18"/>
          <w:szCs w:val="18"/>
        </w:rPr>
      </w:pPr>
      <w:r>
        <w:rPr>
          <w:rFonts w:hint="eastAsia" w:ascii="宋体"/>
          <w:color w:val="000000"/>
          <w:sz w:val="18"/>
          <w:szCs w:val="18"/>
        </w:rPr>
        <w:t>3.“砚园大讲堂”系列学术讲座是面向全校学生开设的前沿性、学术性讲座，学术讲座由学校教务部门负责统一管理。学生在校期间最低应修满2学分，共12次。多修不再计算学分。</w:t>
      </w:r>
    </w:p>
    <w:p>
      <w:pPr>
        <w:spacing w:line="240" w:lineRule="atLeast"/>
        <w:ind w:firstLine="360" w:firstLineChars="200"/>
        <w:jc w:val="left"/>
        <w:rPr>
          <w:rFonts w:ascii="宋体"/>
          <w:color w:val="000000"/>
          <w:sz w:val="18"/>
          <w:szCs w:val="18"/>
        </w:rPr>
      </w:pPr>
      <w:r>
        <w:rPr>
          <w:rFonts w:hint="eastAsia" w:ascii="宋体" w:hAnsi="宋体"/>
          <w:color w:val="000000"/>
          <w:sz w:val="18"/>
          <w:szCs w:val="18"/>
        </w:rPr>
        <w:t>4</w:t>
      </w:r>
      <w:r>
        <w:rPr>
          <w:rFonts w:ascii="宋体"/>
          <w:color w:val="000000"/>
          <w:sz w:val="18"/>
          <w:szCs w:val="18"/>
        </w:rPr>
        <w:t>.</w:t>
      </w:r>
      <w:r>
        <w:rPr>
          <w:rFonts w:hint="eastAsia" w:ascii="宋体"/>
          <w:color w:val="000000"/>
          <w:sz w:val="18"/>
          <w:szCs w:val="18"/>
        </w:rPr>
        <w:t>教师教育模块</w:t>
      </w:r>
      <w:r>
        <w:rPr>
          <w:rFonts w:ascii="宋体"/>
          <w:color w:val="000000"/>
          <w:sz w:val="18"/>
          <w:szCs w:val="18"/>
        </w:rPr>
        <w:t>包括必修课</w:t>
      </w:r>
      <w:r>
        <w:rPr>
          <w:rFonts w:hint="eastAsia" w:ascii="宋体"/>
          <w:color w:val="000000"/>
          <w:sz w:val="18"/>
          <w:szCs w:val="18"/>
        </w:rPr>
        <w:t>12学分</w:t>
      </w:r>
      <w:r>
        <w:rPr>
          <w:rFonts w:ascii="宋体"/>
          <w:color w:val="000000"/>
          <w:sz w:val="18"/>
          <w:szCs w:val="18"/>
        </w:rPr>
        <w:t>，选修课</w:t>
      </w:r>
      <w:r>
        <w:rPr>
          <w:rFonts w:hint="eastAsia" w:ascii="宋体"/>
          <w:color w:val="000000"/>
          <w:sz w:val="18"/>
          <w:szCs w:val="18"/>
        </w:rPr>
        <w:t>4学分</w:t>
      </w:r>
      <w:r>
        <w:rPr>
          <w:rFonts w:ascii="宋体"/>
          <w:color w:val="000000"/>
          <w:sz w:val="18"/>
          <w:szCs w:val="18"/>
        </w:rPr>
        <w:t>。</w:t>
      </w:r>
    </w:p>
    <w:p>
      <w:pPr>
        <w:spacing w:line="240" w:lineRule="atLeast"/>
        <w:ind w:firstLine="360" w:firstLineChars="200"/>
        <w:jc w:val="left"/>
        <w:rPr>
          <w:rFonts w:hint="eastAsia" w:ascii="宋体" w:hAnsi="宋体"/>
          <w:color w:val="000000"/>
          <w:sz w:val="18"/>
          <w:szCs w:val="18"/>
        </w:rPr>
      </w:pPr>
      <w:r>
        <w:rPr>
          <w:rFonts w:hint="eastAsia" w:ascii="宋体"/>
          <w:color w:val="000000"/>
          <w:sz w:val="18"/>
          <w:szCs w:val="18"/>
        </w:rPr>
        <w:t>5.</w:t>
      </w:r>
      <w:r>
        <w:rPr>
          <w:rFonts w:hint="eastAsia" w:ascii="宋体" w:hAnsi="宋体"/>
          <w:color w:val="000000"/>
          <w:sz w:val="18"/>
          <w:szCs w:val="18"/>
        </w:rPr>
        <w:t>学生可另外申请课外创新实践</w:t>
      </w:r>
      <w:r>
        <w:rPr>
          <w:rFonts w:ascii="宋体" w:hAnsi="宋体"/>
          <w:color w:val="000000"/>
          <w:sz w:val="18"/>
          <w:szCs w:val="18"/>
        </w:rPr>
        <w:t>6</w:t>
      </w:r>
      <w:r>
        <w:rPr>
          <w:rFonts w:hint="eastAsia" w:ascii="宋体" w:hAnsi="宋体"/>
          <w:color w:val="000000"/>
          <w:sz w:val="18"/>
          <w:szCs w:val="18"/>
        </w:rPr>
        <w:t>学分（不记入总学分），该学分可冲抵拓展通识课程与辅助通识课程学分。</w:t>
      </w:r>
    </w:p>
    <w:p>
      <w:pPr>
        <w:spacing w:line="240" w:lineRule="atLeast"/>
        <w:ind w:firstLine="360" w:firstLineChars="200"/>
        <w:jc w:val="left"/>
        <w:rPr>
          <w:rFonts w:hint="eastAsia" w:ascii="宋体" w:hAnsi="宋体"/>
          <w:color w:val="000000"/>
          <w:sz w:val="18"/>
          <w:szCs w:val="18"/>
        </w:rPr>
      </w:pPr>
    </w:p>
    <w:p>
      <w:pPr>
        <w:adjustRightInd w:val="0"/>
        <w:snapToGrid w:val="0"/>
        <w:spacing w:line="560" w:lineRule="exact"/>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六、各学期指导性修读学分分布</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0"/>
        <w:gridCol w:w="673"/>
        <w:gridCol w:w="673"/>
        <w:gridCol w:w="672"/>
        <w:gridCol w:w="672"/>
        <w:gridCol w:w="672"/>
        <w:gridCol w:w="672"/>
        <w:gridCol w:w="672"/>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10" w:type="dxa"/>
            <w:vMerge w:val="restart"/>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课程类别</w:t>
            </w:r>
          </w:p>
        </w:tc>
        <w:tc>
          <w:tcPr>
            <w:tcW w:w="5376" w:type="dxa"/>
            <w:gridSpan w:val="8"/>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10" w:type="dxa"/>
            <w:vMerge w:val="continue"/>
            <w:vAlign w:val="center"/>
          </w:tcPr>
          <w:p>
            <w:pPr>
              <w:adjustRightInd w:val="0"/>
              <w:snapToGrid w:val="0"/>
              <w:spacing w:line="560" w:lineRule="exact"/>
              <w:jc w:val="center"/>
              <w:rPr>
                <w:rFonts w:asciiTheme="minorEastAsia" w:hAnsiTheme="minorEastAsia"/>
                <w:b/>
                <w:color w:val="auto"/>
                <w:sz w:val="24"/>
                <w:szCs w:val="24"/>
              </w:rPr>
            </w:pPr>
          </w:p>
        </w:tc>
        <w:tc>
          <w:tcPr>
            <w:tcW w:w="673"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1</w:t>
            </w:r>
          </w:p>
        </w:tc>
        <w:tc>
          <w:tcPr>
            <w:tcW w:w="673"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2</w:t>
            </w:r>
          </w:p>
        </w:tc>
        <w:tc>
          <w:tcPr>
            <w:tcW w:w="672"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3</w:t>
            </w:r>
          </w:p>
        </w:tc>
        <w:tc>
          <w:tcPr>
            <w:tcW w:w="672"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4</w:t>
            </w:r>
          </w:p>
        </w:tc>
        <w:tc>
          <w:tcPr>
            <w:tcW w:w="672"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5</w:t>
            </w:r>
          </w:p>
        </w:tc>
        <w:tc>
          <w:tcPr>
            <w:tcW w:w="672"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6</w:t>
            </w:r>
          </w:p>
        </w:tc>
        <w:tc>
          <w:tcPr>
            <w:tcW w:w="672"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7</w:t>
            </w:r>
          </w:p>
        </w:tc>
        <w:tc>
          <w:tcPr>
            <w:tcW w:w="670" w:type="dxa"/>
            <w:vAlign w:val="center"/>
          </w:tcPr>
          <w:p>
            <w:pPr>
              <w:adjustRightInd w:val="0"/>
              <w:snapToGrid w:val="0"/>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910"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highlight w:val="none"/>
              </w:rPr>
              <w:t>公共必修课程</w:t>
            </w:r>
          </w:p>
        </w:tc>
        <w:tc>
          <w:tcPr>
            <w:tcW w:w="673" w:type="dxa"/>
            <w:vAlign w:val="center"/>
          </w:tcPr>
          <w:p>
            <w:pPr>
              <w:widowControl/>
              <w:jc w:val="center"/>
              <w:textAlignment w:val="center"/>
              <w:rPr>
                <w:rFonts w:hint="default" w:eastAsia="宋体" w:asciiTheme="minorEastAsia" w:hAnsiTheme="minorEastAsia"/>
                <w:color w:val="auto"/>
                <w:sz w:val="24"/>
                <w:szCs w:val="24"/>
                <w:lang w:val="en-US" w:eastAsia="zh-CN"/>
              </w:rPr>
            </w:pPr>
            <w:r>
              <w:rPr>
                <w:rFonts w:hint="eastAsia" w:ascii="Times New Roman" w:hAnsi="Times New Roman"/>
                <w:color w:val="auto"/>
                <w:kern w:val="0"/>
                <w:sz w:val="24"/>
                <w:szCs w:val="24"/>
                <w:lang w:val="en-US" w:eastAsia="zh-CN" w:bidi="ar"/>
              </w:rPr>
              <w:t>19</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11</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7</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6</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0"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910"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通识教育课程</w:t>
            </w:r>
          </w:p>
        </w:tc>
        <w:tc>
          <w:tcPr>
            <w:tcW w:w="673" w:type="dxa"/>
            <w:vAlign w:val="center"/>
          </w:tcPr>
          <w:p>
            <w:pPr>
              <w:jc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4</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4</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4</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2</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2</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0"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910" w:type="dxa"/>
            <w:vAlign w:val="center"/>
          </w:tcPr>
          <w:p>
            <w:pPr>
              <w:adjustRightInd w:val="0"/>
              <w:snapToGrid w:val="0"/>
              <w:spacing w:line="560" w:lineRule="exact"/>
              <w:ind w:left="-60"/>
              <w:jc w:val="center"/>
              <w:rPr>
                <w:rFonts w:asciiTheme="minorEastAsia" w:hAnsiTheme="minorEastAsia"/>
                <w:color w:val="auto"/>
                <w:sz w:val="24"/>
                <w:szCs w:val="24"/>
              </w:rPr>
            </w:pPr>
            <w:r>
              <w:rPr>
                <w:rFonts w:hint="eastAsia" w:asciiTheme="minorEastAsia" w:hAnsiTheme="minorEastAsia"/>
                <w:color w:val="auto"/>
                <w:sz w:val="24"/>
                <w:szCs w:val="24"/>
              </w:rPr>
              <w:t>学科基础教育课程</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6</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1</w:t>
            </w:r>
            <w:r>
              <w:rPr>
                <w:rFonts w:hint="eastAsia" w:ascii="Times New Roman" w:hAnsi="Times New Roman"/>
                <w:color w:val="auto"/>
                <w:kern w:val="0"/>
                <w:sz w:val="24"/>
                <w:szCs w:val="24"/>
                <w:lang w:bidi="ar"/>
              </w:rPr>
              <w:t>2</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7</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12</w:t>
            </w:r>
            <w:r>
              <w:rPr>
                <w:rFonts w:ascii="Times New Roman" w:hAnsi="Times New Roman"/>
                <w:color w:val="auto"/>
                <w:kern w:val="0"/>
                <w:sz w:val="24"/>
                <w:szCs w:val="24"/>
                <w:lang w:bidi="ar"/>
              </w:rPr>
              <w:t>.5</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3</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c>
          <w:tcPr>
            <w:tcW w:w="670"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3910"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专业教育课程</w:t>
            </w:r>
          </w:p>
        </w:tc>
        <w:tc>
          <w:tcPr>
            <w:tcW w:w="673"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2</w:t>
            </w:r>
          </w:p>
        </w:tc>
        <w:tc>
          <w:tcPr>
            <w:tcW w:w="673"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0</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11.5</w:t>
            </w:r>
          </w:p>
        </w:tc>
        <w:tc>
          <w:tcPr>
            <w:tcW w:w="672" w:type="dxa"/>
            <w:vAlign w:val="center"/>
          </w:tcPr>
          <w:p>
            <w:pPr>
              <w:widowControl/>
              <w:jc w:val="center"/>
              <w:textAlignment w:val="center"/>
              <w:rPr>
                <w:rFonts w:hint="eastAsia" w:eastAsia="宋体" w:asciiTheme="minorEastAsia" w:hAnsiTheme="minorEastAsia"/>
                <w:color w:val="auto"/>
                <w:sz w:val="24"/>
                <w:szCs w:val="24"/>
                <w:lang w:eastAsia="zh-CN"/>
              </w:rPr>
            </w:pPr>
            <w:r>
              <w:rPr>
                <w:rFonts w:hint="eastAsia" w:ascii="Times New Roman" w:hAnsi="Times New Roman"/>
                <w:color w:val="auto"/>
                <w:kern w:val="0"/>
                <w:sz w:val="24"/>
                <w:szCs w:val="24"/>
                <w:lang w:bidi="ar"/>
              </w:rPr>
              <w:t>1</w:t>
            </w:r>
            <w:r>
              <w:rPr>
                <w:rFonts w:hint="eastAsia" w:ascii="Times New Roman" w:hAnsi="Times New Roman"/>
                <w:color w:val="auto"/>
                <w:kern w:val="0"/>
                <w:sz w:val="24"/>
                <w:szCs w:val="24"/>
                <w:lang w:val="en-US" w:eastAsia="zh-CN" w:bidi="ar"/>
              </w:rPr>
              <w:t>3</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w:t>
            </w:r>
          </w:p>
        </w:tc>
        <w:tc>
          <w:tcPr>
            <w:tcW w:w="670"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10"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实践教学课程</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1.5</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1</w:t>
            </w:r>
          </w:p>
        </w:tc>
        <w:tc>
          <w:tcPr>
            <w:tcW w:w="672"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4</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4.5</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5</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3</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15</w:t>
            </w:r>
          </w:p>
        </w:tc>
        <w:tc>
          <w:tcPr>
            <w:tcW w:w="670"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910" w:type="dxa"/>
            <w:vAlign w:val="center"/>
          </w:tcPr>
          <w:p>
            <w:pPr>
              <w:adjustRightInd w:val="0"/>
              <w:snapToGrid w:val="0"/>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highlight w:val="none"/>
              </w:rPr>
              <w:t>小计</w:t>
            </w:r>
          </w:p>
        </w:tc>
        <w:tc>
          <w:tcPr>
            <w:tcW w:w="673" w:type="dxa"/>
            <w:vAlign w:val="center"/>
          </w:tcPr>
          <w:p>
            <w:pPr>
              <w:widowControl/>
              <w:jc w:val="center"/>
              <w:textAlignment w:val="center"/>
              <w:rPr>
                <w:rFonts w:asciiTheme="minorEastAsia" w:hAnsiTheme="minorEastAsia"/>
                <w:color w:val="auto"/>
                <w:sz w:val="24"/>
                <w:szCs w:val="24"/>
              </w:rPr>
            </w:pPr>
            <w:r>
              <w:rPr>
                <w:rFonts w:ascii="Times New Roman" w:hAnsi="Times New Roman"/>
                <w:color w:val="auto"/>
                <w:kern w:val="0"/>
                <w:sz w:val="24"/>
                <w:szCs w:val="24"/>
                <w:lang w:bidi="ar"/>
              </w:rPr>
              <w:t>2</w:t>
            </w:r>
            <w:r>
              <w:rPr>
                <w:rFonts w:hint="eastAsia" w:ascii="Times New Roman" w:hAnsi="Times New Roman"/>
                <w:color w:val="auto"/>
                <w:kern w:val="0"/>
                <w:sz w:val="24"/>
                <w:szCs w:val="24"/>
                <w:lang w:val="en-US" w:eastAsia="zh-CN" w:bidi="ar"/>
              </w:rPr>
              <w:t>8</w:t>
            </w:r>
            <w:r>
              <w:rPr>
                <w:rFonts w:ascii="Times New Roman" w:hAnsi="Times New Roman"/>
                <w:color w:val="auto"/>
                <w:kern w:val="0"/>
                <w:sz w:val="24"/>
                <w:szCs w:val="24"/>
                <w:lang w:bidi="ar"/>
              </w:rPr>
              <w:t>.5</w:t>
            </w:r>
          </w:p>
        </w:tc>
        <w:tc>
          <w:tcPr>
            <w:tcW w:w="673"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28</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23</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28</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21.5</w:t>
            </w:r>
          </w:p>
        </w:tc>
        <w:tc>
          <w:tcPr>
            <w:tcW w:w="672" w:type="dxa"/>
            <w:vAlign w:val="center"/>
          </w:tcPr>
          <w:p>
            <w:pPr>
              <w:widowControl/>
              <w:jc w:val="center"/>
              <w:textAlignment w:val="center"/>
              <w:rPr>
                <w:rFonts w:hint="eastAsia" w:eastAsia="宋体" w:asciiTheme="minorEastAsia" w:hAnsiTheme="minorEastAsia"/>
                <w:color w:val="auto"/>
                <w:sz w:val="24"/>
                <w:szCs w:val="24"/>
                <w:lang w:eastAsia="zh-CN"/>
              </w:rPr>
            </w:pPr>
            <w:r>
              <w:rPr>
                <w:rFonts w:hint="eastAsia" w:ascii="Times New Roman" w:hAnsi="Times New Roman"/>
                <w:color w:val="auto"/>
                <w:kern w:val="0"/>
                <w:sz w:val="24"/>
                <w:szCs w:val="24"/>
                <w:lang w:bidi="ar"/>
              </w:rPr>
              <w:t>1</w:t>
            </w:r>
            <w:r>
              <w:rPr>
                <w:rFonts w:hint="eastAsia" w:ascii="Times New Roman" w:hAnsi="Times New Roman"/>
                <w:color w:val="auto"/>
                <w:kern w:val="0"/>
                <w:sz w:val="24"/>
                <w:szCs w:val="24"/>
                <w:lang w:val="en-US" w:eastAsia="zh-CN" w:bidi="ar"/>
              </w:rPr>
              <w:t>8</w:t>
            </w:r>
          </w:p>
        </w:tc>
        <w:tc>
          <w:tcPr>
            <w:tcW w:w="672"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16</w:t>
            </w:r>
          </w:p>
        </w:tc>
        <w:tc>
          <w:tcPr>
            <w:tcW w:w="670" w:type="dxa"/>
            <w:vAlign w:val="center"/>
          </w:tcPr>
          <w:p>
            <w:pPr>
              <w:widowControl/>
              <w:jc w:val="center"/>
              <w:textAlignment w:val="center"/>
              <w:rPr>
                <w:rFonts w:asciiTheme="minorEastAsia" w:hAnsiTheme="minorEastAsia"/>
                <w:color w:val="auto"/>
                <w:sz w:val="24"/>
                <w:szCs w:val="24"/>
              </w:rPr>
            </w:pPr>
            <w:r>
              <w:rPr>
                <w:rFonts w:hint="eastAsia" w:ascii="Times New Roman" w:hAnsi="Times New Roman"/>
                <w:color w:val="auto"/>
                <w:kern w:val="0"/>
                <w:sz w:val="24"/>
                <w:szCs w:val="24"/>
                <w:lang w:bidi="ar"/>
              </w:rPr>
              <w:t>10</w:t>
            </w:r>
          </w:p>
        </w:tc>
      </w:tr>
    </w:tbl>
    <w:p>
      <w:pPr>
        <w:adjustRightInd w:val="0"/>
        <w:snapToGrid w:val="0"/>
        <w:spacing w:line="360" w:lineRule="auto"/>
        <w:jc w:val="left"/>
        <w:rPr>
          <w:rFonts w:ascii="宋体" w:hAnsi="宋体"/>
          <w:b/>
          <w:color w:val="000000"/>
          <w:sz w:val="24"/>
          <w:szCs w:val="24"/>
        </w:rPr>
      </w:pPr>
    </w:p>
    <w:p>
      <w:pPr>
        <w:adjustRightInd w:val="0"/>
        <w:snapToGrid w:val="0"/>
        <w:spacing w:line="360" w:lineRule="auto"/>
        <w:jc w:val="left"/>
        <w:rPr>
          <w:rFonts w:ascii="宋体" w:hAnsi="宋体"/>
          <w:b/>
          <w:color w:val="000000"/>
          <w:sz w:val="24"/>
          <w:szCs w:val="24"/>
        </w:rPr>
      </w:pP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七、教学运行表</w:t>
      </w:r>
    </w:p>
    <w:tbl>
      <w:tblPr>
        <w:tblStyle w:val="8"/>
        <w:tblW w:w="11394" w:type="dxa"/>
        <w:tblInd w:w="-1026" w:type="dxa"/>
        <w:tblLayout w:type="fixed"/>
        <w:tblCellMar>
          <w:top w:w="0" w:type="dxa"/>
          <w:left w:w="108" w:type="dxa"/>
          <w:bottom w:w="0" w:type="dxa"/>
          <w:right w:w="108" w:type="dxa"/>
        </w:tblCellMar>
      </w:tblPr>
      <w:tblGrid>
        <w:gridCol w:w="377"/>
        <w:gridCol w:w="376"/>
        <w:gridCol w:w="376"/>
        <w:gridCol w:w="376"/>
        <w:gridCol w:w="376"/>
        <w:gridCol w:w="376"/>
        <w:gridCol w:w="376"/>
        <w:gridCol w:w="376"/>
        <w:gridCol w:w="376"/>
        <w:gridCol w:w="376"/>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452"/>
        <w:gridCol w:w="377"/>
      </w:tblGrid>
      <w:tr>
        <w:tblPrEx>
          <w:tblCellMar>
            <w:top w:w="0" w:type="dxa"/>
            <w:left w:w="108" w:type="dxa"/>
            <w:bottom w:w="0" w:type="dxa"/>
            <w:right w:w="108" w:type="dxa"/>
          </w:tblCellMar>
        </w:tblPrEx>
        <w:trPr>
          <w:trHeight w:val="284" w:hRule="atLeast"/>
        </w:trPr>
        <w:tc>
          <w:tcPr>
            <w:tcW w:w="377" w:type="dxa"/>
            <w:tcBorders>
              <w:top w:val="single" w:color="auto" w:sz="8" w:space="0"/>
              <w:left w:val="single" w:color="auto" w:sz="8" w:space="0"/>
              <w:bottom w:val="single" w:color="auto" w:sz="8" w:space="0"/>
              <w:right w:val="single" w:color="auto" w:sz="8" w:space="0"/>
            </w:tcBorders>
            <w:vAlign w:val="center"/>
          </w:tcPr>
          <w:p>
            <w:pPr>
              <w:widowControl/>
              <w:spacing w:line="200" w:lineRule="exact"/>
              <w:jc w:val="center"/>
              <w:rPr>
                <w:rFonts w:ascii="宋体" w:cs="宋体"/>
                <w:b/>
                <w:kern w:val="0"/>
                <w:sz w:val="16"/>
                <w:szCs w:val="16"/>
              </w:rPr>
            </w:pPr>
            <w:r>
              <w:rPr>
                <w:rFonts w:hint="eastAsia" w:ascii="宋体" w:hAnsi="宋体" w:cs="宋体"/>
                <w:b/>
                <w:kern w:val="0"/>
                <w:sz w:val="16"/>
                <w:szCs w:val="16"/>
              </w:rPr>
              <w:t>学期</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3</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4</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5</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6</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7</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8</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9</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10</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11</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12</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13</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14</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15</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16</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17</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18</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19</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20</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21</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22</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23</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24</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25</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26</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kern w:val="0"/>
                <w:sz w:val="16"/>
                <w:szCs w:val="16"/>
              </w:rPr>
            </w:pPr>
            <w:r>
              <w:rPr>
                <w:rFonts w:ascii="宋体" w:hAnsi="宋体" w:cs="宋体"/>
                <w:b/>
                <w:kern w:val="0"/>
                <w:sz w:val="16"/>
                <w:szCs w:val="16"/>
              </w:rPr>
              <w:t>27</w:t>
            </w:r>
          </w:p>
        </w:tc>
        <w:tc>
          <w:tcPr>
            <w:tcW w:w="452" w:type="dxa"/>
            <w:tcBorders>
              <w:top w:val="single" w:color="auto" w:sz="8" w:space="0"/>
              <w:left w:val="nil"/>
              <w:bottom w:val="single" w:color="auto" w:sz="8" w:space="0"/>
              <w:right w:val="single" w:color="auto" w:sz="8" w:space="0"/>
            </w:tcBorders>
            <w:vAlign w:val="center"/>
          </w:tcPr>
          <w:p>
            <w:pPr>
              <w:widowControl/>
              <w:spacing w:line="200" w:lineRule="exact"/>
              <w:jc w:val="center"/>
              <w:rPr>
                <w:rFonts w:ascii="宋体" w:cs="宋体"/>
                <w:b/>
                <w:kern w:val="0"/>
                <w:sz w:val="16"/>
                <w:szCs w:val="16"/>
              </w:rPr>
            </w:pPr>
            <w:r>
              <w:rPr>
                <w:rFonts w:hint="eastAsia" w:ascii="宋体" w:hAnsi="宋体" w:cs="宋体"/>
                <w:b/>
                <w:kern w:val="0"/>
                <w:sz w:val="16"/>
                <w:szCs w:val="16"/>
              </w:rPr>
              <w:t>理论教学周数</w:t>
            </w:r>
          </w:p>
        </w:tc>
        <w:tc>
          <w:tcPr>
            <w:tcW w:w="377" w:type="dxa"/>
            <w:tcBorders>
              <w:top w:val="single" w:color="auto" w:sz="8" w:space="0"/>
              <w:left w:val="nil"/>
              <w:bottom w:val="single" w:color="auto" w:sz="8" w:space="0"/>
              <w:right w:val="single" w:color="auto" w:sz="8" w:space="0"/>
            </w:tcBorders>
            <w:vAlign w:val="center"/>
          </w:tcPr>
          <w:p>
            <w:pPr>
              <w:widowControl/>
              <w:spacing w:line="200" w:lineRule="exact"/>
              <w:jc w:val="center"/>
              <w:rPr>
                <w:rFonts w:ascii="宋体" w:cs="宋体"/>
                <w:b/>
                <w:kern w:val="0"/>
                <w:sz w:val="16"/>
                <w:szCs w:val="16"/>
              </w:rPr>
            </w:pPr>
            <w:r>
              <w:rPr>
                <w:rFonts w:hint="eastAsia" w:ascii="宋体" w:hAnsi="宋体" w:cs="宋体"/>
                <w:b/>
                <w:kern w:val="0"/>
                <w:sz w:val="16"/>
                <w:szCs w:val="16"/>
              </w:rPr>
              <w:t>实践教学周数</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一</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14</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二</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CX</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CX</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16</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2</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三</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CX</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CX</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16</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2</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四</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JX</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JG</w:t>
            </w: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16</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2</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五</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RS</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cs="宋体"/>
                <w:kern w:val="0"/>
                <w:sz w:val="16"/>
                <w:szCs w:val="16"/>
              </w:rPr>
              <w:t>HY</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16</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2</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六</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CX</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HC</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16</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2</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七</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4</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ascii="宋体" w:hAnsi="宋体" w:cs="宋体"/>
                <w:kern w:val="0"/>
                <w:sz w:val="16"/>
                <w:szCs w:val="16"/>
              </w:rPr>
              <w:t>1</w:t>
            </w:r>
            <w:r>
              <w:rPr>
                <w:rFonts w:hint="eastAsia" w:ascii="宋体" w:hAnsi="宋体" w:cs="宋体"/>
                <w:kern w:val="0"/>
                <w:sz w:val="16"/>
                <w:szCs w:val="16"/>
              </w:rPr>
              <w:t>4</w:t>
            </w:r>
          </w:p>
        </w:tc>
      </w:tr>
      <w:tr>
        <w:tblPrEx>
          <w:tblCellMar>
            <w:top w:w="0" w:type="dxa"/>
            <w:left w:w="108" w:type="dxa"/>
            <w:bottom w:w="0" w:type="dxa"/>
            <w:right w:w="108" w:type="dxa"/>
          </w:tblCellMar>
        </w:tblPrEx>
        <w:trPr>
          <w:trHeight w:val="285" w:hRule="atLeast"/>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cs="宋体"/>
                <w:b/>
                <w:kern w:val="0"/>
                <w:sz w:val="16"/>
                <w:szCs w:val="16"/>
              </w:rPr>
            </w:pPr>
            <w:r>
              <w:rPr>
                <w:rFonts w:hint="eastAsia" w:ascii="宋体" w:hAnsi="宋体" w:cs="宋体"/>
                <w:b/>
                <w:kern w:val="0"/>
                <w:sz w:val="16"/>
                <w:szCs w:val="16"/>
              </w:rPr>
              <w:t>八</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left"/>
              <w:rPr>
                <w:rFonts w:ascii="宋体" w:cs="宋体"/>
                <w:kern w:val="0"/>
                <w:sz w:val="16"/>
                <w:szCs w:val="16"/>
              </w:rPr>
            </w:pPr>
            <w:r>
              <w:rPr>
                <w:rFonts w:hint="eastAsia" w:ascii="宋体" w:hAnsi="宋体" w:cs="宋体"/>
                <w:kern w:val="0"/>
                <w:sz w:val="16"/>
                <w:szCs w:val="16"/>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8"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452"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　</w:t>
            </w:r>
          </w:p>
        </w:tc>
        <w:tc>
          <w:tcPr>
            <w:tcW w:w="377" w:type="dxa"/>
            <w:tcBorders>
              <w:top w:val="nil"/>
              <w:left w:val="nil"/>
              <w:bottom w:val="single" w:color="auto" w:sz="8" w:space="0"/>
              <w:right w:val="single" w:color="auto" w:sz="8" w:space="0"/>
            </w:tcBorders>
            <w:noWrap/>
            <w:vAlign w:val="center"/>
          </w:tcPr>
          <w:p>
            <w:pPr>
              <w:widowControl/>
              <w:jc w:val="center"/>
              <w:rPr>
                <w:rFonts w:ascii="宋体" w:cs="宋体"/>
                <w:kern w:val="0"/>
                <w:sz w:val="16"/>
                <w:szCs w:val="16"/>
              </w:rPr>
            </w:pPr>
            <w:r>
              <w:rPr>
                <w:rFonts w:hint="eastAsia" w:ascii="宋体" w:hAnsi="宋体" w:cs="宋体"/>
                <w:kern w:val="0"/>
                <w:sz w:val="16"/>
                <w:szCs w:val="16"/>
              </w:rPr>
              <w:t>10</w:t>
            </w:r>
          </w:p>
        </w:tc>
      </w:tr>
    </w:tbl>
    <w:p>
      <w:pPr>
        <w:adjustRightInd w:val="0"/>
        <w:snapToGrid w:val="0"/>
        <w:spacing w:line="360" w:lineRule="auto"/>
        <w:jc w:val="center"/>
        <w:rPr>
          <w:rFonts w:ascii="宋体"/>
          <w:color w:val="000000"/>
          <w:sz w:val="24"/>
          <w:szCs w:val="24"/>
        </w:rPr>
      </w:pPr>
    </w:p>
    <w:p>
      <w:pPr>
        <w:adjustRightInd w:val="0"/>
        <w:snapToGrid w:val="0"/>
        <w:spacing w:line="360" w:lineRule="auto"/>
        <w:jc w:val="center"/>
        <w:rPr>
          <w:rFonts w:ascii="宋体" w:hAnsi="宋体"/>
          <w:color w:val="000000"/>
          <w:sz w:val="18"/>
          <w:szCs w:val="18"/>
        </w:rPr>
      </w:pPr>
      <w:r>
        <w:rPr>
          <w:rFonts w:hint="eastAsia" w:ascii="宋体" w:hAnsi="宋体"/>
          <w:color w:val="000000"/>
          <w:sz w:val="18"/>
          <w:szCs w:val="18"/>
        </w:rPr>
        <w:t>符号说明：※理论教学  ×假期  ⊙考试  ★国防教育  ♀毕业论文（设计）  §春节  ◎毕业教育</w:t>
      </w:r>
    </w:p>
    <w:p>
      <w:pPr>
        <w:adjustRightInd w:val="0"/>
        <w:snapToGrid w:val="0"/>
        <w:spacing w:line="320" w:lineRule="atLeast"/>
        <w:ind w:firstLine="900" w:firstLineChars="500"/>
        <w:jc w:val="left"/>
        <w:rPr>
          <w:rFonts w:ascii="宋体"/>
          <w:sz w:val="18"/>
          <w:szCs w:val="18"/>
        </w:rPr>
      </w:pPr>
      <w:r>
        <w:rPr>
          <w:rFonts w:hint="eastAsia" w:ascii="宋体" w:hAnsi="宋体"/>
          <w:sz w:val="18"/>
          <w:szCs w:val="18"/>
        </w:rPr>
        <w:t xml:space="preserve">HY </w:t>
      </w:r>
      <w:r>
        <w:rPr>
          <w:sz w:val="18"/>
          <w:szCs w:val="18"/>
        </w:rPr>
        <w:t>化工原理课程设计</w:t>
      </w:r>
      <w:r>
        <w:rPr>
          <w:rFonts w:ascii="宋体" w:hAnsi="宋体"/>
          <w:sz w:val="18"/>
          <w:szCs w:val="18"/>
        </w:rPr>
        <w:t xml:space="preserve">                 JX </w:t>
      </w:r>
      <w:r>
        <w:rPr>
          <w:rFonts w:hint="eastAsia" w:ascii="宋体" w:hAnsi="宋体"/>
          <w:sz w:val="18"/>
          <w:szCs w:val="18"/>
        </w:rPr>
        <w:t>专业技能训练</w:t>
      </w:r>
      <w:r>
        <w:rPr>
          <w:rFonts w:ascii="宋体" w:hAnsi="宋体"/>
          <w:sz w:val="18"/>
          <w:szCs w:val="18"/>
        </w:rPr>
        <w:t>——</w:t>
      </w:r>
      <w:r>
        <w:rPr>
          <w:rFonts w:hint="eastAsia" w:ascii="宋体" w:hAnsi="宋体"/>
          <w:sz w:val="18"/>
          <w:szCs w:val="18"/>
        </w:rPr>
        <w:t>精细化学品市场调查与预测</w:t>
      </w:r>
    </w:p>
    <w:p>
      <w:pPr>
        <w:adjustRightInd w:val="0"/>
        <w:snapToGrid w:val="0"/>
        <w:spacing w:line="320" w:lineRule="atLeast"/>
        <w:ind w:firstLine="900" w:firstLineChars="500"/>
        <w:jc w:val="left"/>
        <w:rPr>
          <w:rFonts w:ascii="宋体" w:hAnsi="宋体"/>
          <w:sz w:val="18"/>
          <w:szCs w:val="18"/>
        </w:rPr>
      </w:pPr>
      <w:r>
        <w:rPr>
          <w:rFonts w:ascii="宋体" w:hAnsi="宋体"/>
          <w:sz w:val="18"/>
          <w:szCs w:val="18"/>
        </w:rPr>
        <w:t xml:space="preserve">JG </w:t>
      </w:r>
      <w:r>
        <w:rPr>
          <w:rFonts w:hint="eastAsia" w:ascii="宋体" w:hAnsi="宋体"/>
          <w:sz w:val="18"/>
          <w:szCs w:val="18"/>
        </w:rPr>
        <w:t xml:space="preserve">金工实习                                 </w:t>
      </w:r>
      <w:r>
        <w:rPr>
          <w:rFonts w:ascii="宋体" w:hAnsi="宋体"/>
          <w:sz w:val="18"/>
          <w:szCs w:val="18"/>
        </w:rPr>
        <w:t xml:space="preserve">CX </w:t>
      </w:r>
      <w:r>
        <w:rPr>
          <w:rFonts w:hint="eastAsia" w:ascii="宋体" w:hAnsi="宋体"/>
          <w:sz w:val="18"/>
          <w:szCs w:val="18"/>
        </w:rPr>
        <w:t xml:space="preserve">创新实践（课外与集中训练相结合）         </w:t>
      </w:r>
    </w:p>
    <w:p>
      <w:pPr>
        <w:adjustRightInd w:val="0"/>
        <w:snapToGrid w:val="0"/>
        <w:spacing w:line="360" w:lineRule="auto"/>
        <w:ind w:firstLine="900" w:firstLineChars="500"/>
        <w:jc w:val="both"/>
        <w:rPr>
          <w:rFonts w:ascii="宋体"/>
          <w:color w:val="000000"/>
          <w:sz w:val="24"/>
          <w:szCs w:val="24"/>
        </w:rPr>
      </w:pPr>
      <w:r>
        <w:rPr>
          <w:rFonts w:hint="eastAsia" w:ascii="宋体" w:hAnsi="宋体"/>
          <w:sz w:val="18"/>
          <w:szCs w:val="18"/>
        </w:rPr>
        <w:t>HC</w:t>
      </w:r>
      <w:r>
        <w:rPr>
          <w:rFonts w:ascii="宋体" w:hAnsi="宋体"/>
          <w:sz w:val="18"/>
          <w:szCs w:val="18"/>
        </w:rPr>
        <w:t xml:space="preserve"> </w:t>
      </w:r>
      <w:r>
        <w:rPr>
          <w:rFonts w:hint="eastAsia" w:ascii="宋体" w:hAnsi="宋体"/>
          <w:sz w:val="18"/>
          <w:szCs w:val="18"/>
        </w:rPr>
        <w:t>专业技能训练</w:t>
      </w:r>
      <w:r>
        <w:rPr>
          <w:rFonts w:ascii="宋体" w:hAnsi="宋体"/>
          <w:sz w:val="18"/>
          <w:szCs w:val="18"/>
        </w:rPr>
        <w:t>——</w:t>
      </w:r>
      <w:r>
        <w:rPr>
          <w:rFonts w:hint="eastAsia" w:ascii="宋体" w:hAnsi="宋体"/>
          <w:sz w:val="18"/>
          <w:szCs w:val="18"/>
        </w:rPr>
        <w:t>化工产品设计             RS</w:t>
      </w:r>
      <w:r>
        <w:rPr>
          <w:rFonts w:ascii="宋体" w:hAnsi="宋体"/>
          <w:sz w:val="18"/>
          <w:szCs w:val="18"/>
        </w:rPr>
        <w:t xml:space="preserve"> </w:t>
      </w:r>
      <w:r>
        <w:rPr>
          <w:rFonts w:hint="eastAsia" w:ascii="宋体" w:hAnsi="宋体"/>
          <w:sz w:val="18"/>
          <w:szCs w:val="18"/>
        </w:rPr>
        <w:t>认识实习</w:t>
      </w:r>
    </w:p>
    <w:p>
      <w:pPr>
        <w:adjustRightInd w:val="0"/>
        <w:snapToGrid w:val="0"/>
        <w:spacing w:line="560" w:lineRule="exact"/>
        <w:jc w:val="left"/>
        <w:rPr>
          <w:rFonts w:ascii="黑体" w:hAnsi="黑体" w:eastAsia="黑体"/>
          <w:sz w:val="32"/>
          <w:szCs w:val="32"/>
        </w:rPr>
      </w:pPr>
      <w:r>
        <w:rPr>
          <w:rFonts w:hint="eastAsia" w:ascii="黑体" w:hAnsi="黑体" w:eastAsia="黑体"/>
          <w:sz w:val="32"/>
          <w:szCs w:val="32"/>
        </w:rPr>
        <w:t xml:space="preserve">    </w:t>
      </w:r>
      <w:r>
        <w:rPr>
          <w:rFonts w:hint="eastAsia" w:asciiTheme="majorEastAsia" w:hAnsiTheme="majorEastAsia" w:eastAsiaTheme="majorEastAsia"/>
          <w:b/>
          <w:sz w:val="24"/>
          <w:szCs w:val="24"/>
        </w:rPr>
        <w:t>八、学制、毕业条件及学位授予</w:t>
      </w:r>
    </w:p>
    <w:p>
      <w:pPr>
        <w:adjustRightInd w:val="0"/>
        <w:snapToGrid w:val="0"/>
        <w:spacing w:line="360" w:lineRule="auto"/>
        <w:jc w:val="left"/>
        <w:rPr>
          <w:rFonts w:asci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1.</w:t>
      </w:r>
      <w:r>
        <w:rPr>
          <w:rFonts w:hint="eastAsia" w:ascii="宋体" w:hAnsi="宋体"/>
          <w:color w:val="000000"/>
          <w:sz w:val="24"/>
          <w:szCs w:val="24"/>
        </w:rPr>
        <w:t>学制：</w:t>
      </w:r>
      <w:r>
        <w:rPr>
          <w:rFonts w:hint="eastAsia" w:ascii="宋体" w:hAnsi="宋体"/>
          <w:sz w:val="24"/>
          <w:szCs w:val="24"/>
        </w:rPr>
        <w:t>基本学制为四年。按学分制管理机制，实施弹性学习年限为3-7年。</w:t>
      </w:r>
    </w:p>
    <w:p>
      <w:pPr>
        <w:adjustRightInd w:val="0"/>
        <w:snapToGrid w:val="0"/>
        <w:spacing w:line="360" w:lineRule="auto"/>
        <w:ind w:left="210" w:leftChars="100" w:firstLine="240" w:firstLineChars="100"/>
        <w:jc w:val="left"/>
        <w:rPr>
          <w:rFonts w:ascii="宋体"/>
          <w:color w:val="000000"/>
          <w:sz w:val="24"/>
          <w:szCs w:val="24"/>
          <w:highlight w:val="cyan"/>
        </w:rPr>
      </w:pPr>
      <w:r>
        <w:rPr>
          <w:rFonts w:ascii="宋体" w:hAnsi="宋体"/>
          <w:color w:val="000000"/>
          <w:sz w:val="24"/>
          <w:szCs w:val="24"/>
        </w:rPr>
        <w:t>2.</w:t>
      </w:r>
      <w:r>
        <w:rPr>
          <w:rFonts w:hint="eastAsia" w:ascii="宋体" w:hAnsi="宋体"/>
          <w:color w:val="000000"/>
          <w:sz w:val="24"/>
          <w:szCs w:val="24"/>
        </w:rPr>
        <w:t>毕业条件：学生在学习期间符合学校的相关规定，达到教育部规定的《学生体育健康标准》要求。完成本专业教学计划中规定的课程学习任务，各科成绩合格，</w:t>
      </w:r>
      <w:r>
        <w:rPr>
          <w:rFonts w:hint="eastAsia" w:ascii="宋体" w:hAnsi="宋体"/>
          <w:color w:val="000000"/>
          <w:sz w:val="24"/>
          <w:szCs w:val="24"/>
          <w:highlight w:val="none"/>
        </w:rPr>
        <w:t xml:space="preserve">修满    </w:t>
      </w:r>
      <w:r>
        <w:rPr>
          <w:rFonts w:hint="eastAsia" w:ascii="宋体" w:hAnsi="宋体"/>
          <w:color w:val="000000"/>
          <w:sz w:val="24"/>
          <w:szCs w:val="24"/>
          <w:highlight w:val="none"/>
          <w:lang w:val="en-US" w:eastAsia="zh-CN"/>
        </w:rPr>
        <w:t>173</w:t>
      </w:r>
      <w:r>
        <w:rPr>
          <w:rFonts w:hint="eastAsia" w:ascii="宋体" w:hAnsi="宋体"/>
          <w:color w:val="000000"/>
          <w:sz w:val="24"/>
          <w:szCs w:val="24"/>
          <w:highlight w:val="none"/>
        </w:rPr>
        <w:t>学分。</w:t>
      </w:r>
    </w:p>
    <w:p>
      <w:pPr>
        <w:adjustRightInd w:val="0"/>
        <w:snapToGrid w:val="0"/>
        <w:spacing w:line="360" w:lineRule="auto"/>
        <w:ind w:left="240" w:hanging="240" w:hangingChars="100"/>
        <w:jc w:val="left"/>
        <w:rPr>
          <w:rFonts w:asci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3.</w:t>
      </w:r>
      <w:r>
        <w:rPr>
          <w:rFonts w:hint="eastAsia" w:ascii="宋体" w:hAnsi="宋体"/>
          <w:color w:val="000000"/>
          <w:sz w:val="24"/>
          <w:szCs w:val="24"/>
        </w:rPr>
        <w:t xml:space="preserve">学位授予：工学学士 </w:t>
      </w:r>
    </w:p>
    <w:p>
      <w:pPr>
        <w:adjustRightInd w:val="0"/>
        <w:snapToGrid w:val="0"/>
        <w:spacing w:line="560" w:lineRule="exact"/>
        <w:jc w:val="left"/>
        <w:rPr>
          <w:rFonts w:asciiTheme="majorEastAsia" w:hAnsiTheme="majorEastAsia" w:eastAsiaTheme="majorEastAsia"/>
          <w:b/>
          <w:sz w:val="24"/>
          <w:szCs w:val="24"/>
        </w:rPr>
      </w:pPr>
      <w:r>
        <w:rPr>
          <w:rFonts w:hint="eastAsia" w:ascii="黑体" w:hAnsi="黑体" w:eastAsia="黑体"/>
          <w:sz w:val="32"/>
          <w:szCs w:val="32"/>
        </w:rPr>
        <w:t xml:space="preserve">    </w:t>
      </w:r>
      <w:r>
        <w:rPr>
          <w:rFonts w:hint="eastAsia" w:asciiTheme="majorEastAsia" w:hAnsiTheme="majorEastAsia" w:eastAsiaTheme="majorEastAsia"/>
          <w:b/>
          <w:sz w:val="24"/>
          <w:szCs w:val="24"/>
        </w:rPr>
        <w:t>九、教学计划表</w:t>
      </w:r>
    </w:p>
    <w:p>
      <w:pPr>
        <w:adjustRightInd w:val="0"/>
        <w:snapToGrid w:val="0"/>
        <w:spacing w:line="56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 xml:space="preserve">    （附后）</w:t>
      </w:r>
    </w:p>
    <w:p/>
    <w:p/>
    <w:p/>
    <w:p/>
    <w:p/>
    <w:p/>
    <w:p/>
    <w:p/>
    <w:p/>
    <w:p/>
    <w:p/>
    <w:sectPr>
      <w:headerReference r:id="rId3" w:type="default"/>
      <w:footerReference r:id="rId4"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6</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145A2"/>
    <w:multiLevelType w:val="singleLevel"/>
    <w:tmpl w:val="13B145A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yMTRmNThmZmIxYWZmYmM0NDI0NTg4MDIxNzZmNjMifQ=="/>
  </w:docVars>
  <w:rsids>
    <w:rsidRoot w:val="00BA6FD4"/>
    <w:rsid w:val="00027063"/>
    <w:rsid w:val="00042D19"/>
    <w:rsid w:val="000F3E10"/>
    <w:rsid w:val="001B5B7D"/>
    <w:rsid w:val="001B6586"/>
    <w:rsid w:val="001D1B7F"/>
    <w:rsid w:val="002709DE"/>
    <w:rsid w:val="003657B3"/>
    <w:rsid w:val="0042466F"/>
    <w:rsid w:val="00435B07"/>
    <w:rsid w:val="005D6603"/>
    <w:rsid w:val="00634287"/>
    <w:rsid w:val="00650156"/>
    <w:rsid w:val="006603E0"/>
    <w:rsid w:val="006B4C7C"/>
    <w:rsid w:val="006D7CCF"/>
    <w:rsid w:val="00701794"/>
    <w:rsid w:val="007732D6"/>
    <w:rsid w:val="0078472F"/>
    <w:rsid w:val="0078784A"/>
    <w:rsid w:val="007B2931"/>
    <w:rsid w:val="007C277A"/>
    <w:rsid w:val="007E5950"/>
    <w:rsid w:val="007F592A"/>
    <w:rsid w:val="00841EA2"/>
    <w:rsid w:val="008513A7"/>
    <w:rsid w:val="00857EE6"/>
    <w:rsid w:val="009D141C"/>
    <w:rsid w:val="00AE5EEE"/>
    <w:rsid w:val="00B83C83"/>
    <w:rsid w:val="00BA6FD4"/>
    <w:rsid w:val="00BE28D1"/>
    <w:rsid w:val="00BF21E6"/>
    <w:rsid w:val="00C867D1"/>
    <w:rsid w:val="00DA042C"/>
    <w:rsid w:val="00E3146D"/>
    <w:rsid w:val="00E45817"/>
    <w:rsid w:val="00E513C9"/>
    <w:rsid w:val="00E70F64"/>
    <w:rsid w:val="00E714FB"/>
    <w:rsid w:val="00ED27A3"/>
    <w:rsid w:val="00F0522A"/>
    <w:rsid w:val="00F12CD9"/>
    <w:rsid w:val="00F20D84"/>
    <w:rsid w:val="00F45F8F"/>
    <w:rsid w:val="05BE400C"/>
    <w:rsid w:val="0BC55E7E"/>
    <w:rsid w:val="142A300B"/>
    <w:rsid w:val="1C2157AE"/>
    <w:rsid w:val="1E98450C"/>
    <w:rsid w:val="230B6414"/>
    <w:rsid w:val="27620901"/>
    <w:rsid w:val="2B803801"/>
    <w:rsid w:val="365E5A77"/>
    <w:rsid w:val="4458761D"/>
    <w:rsid w:val="46C202E8"/>
    <w:rsid w:val="51121E6C"/>
    <w:rsid w:val="52BF099D"/>
    <w:rsid w:val="52F4256F"/>
    <w:rsid w:val="5E8D7B21"/>
    <w:rsid w:val="6A62486A"/>
    <w:rsid w:val="6C3D64DF"/>
    <w:rsid w:val="74056108"/>
    <w:rsid w:val="78A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annotation text"/>
    <w:basedOn w:val="1"/>
    <w:semiHidden/>
    <w:unhideWhenUsed/>
    <w:qFormat/>
    <w:uiPriority w:val="99"/>
    <w:pPr>
      <w:jc w:val="left"/>
    </w:pPr>
  </w:style>
  <w:style w:type="paragraph" w:styleId="4">
    <w:name w:val="Body Text Indent"/>
    <w:basedOn w:val="1"/>
    <w:qFormat/>
    <w:uiPriority w:val="0"/>
    <w:pPr>
      <w:ind w:firstLine="420" w:firstLineChars="200"/>
    </w:pPr>
    <w:rPr>
      <w:color w:val="000000"/>
    </w:rPr>
  </w:style>
  <w:style w:type="paragraph" w:styleId="5">
    <w:name w:val="Balloon Text"/>
    <w:basedOn w:val="1"/>
    <w:link w:val="12"/>
    <w:semiHidden/>
    <w:unhideWhenUsed/>
    <w:qFormat/>
    <w:uiPriority w:val="99"/>
    <w:rPr>
      <w:sz w:val="18"/>
      <w:szCs w:val="18"/>
    </w:rPr>
  </w:style>
  <w:style w:type="paragraph" w:styleId="6">
    <w:name w:val="footer"/>
    <w:basedOn w:val="1"/>
    <w:link w:val="11"/>
    <w:qFormat/>
    <w:uiPriority w:val="99"/>
    <w:pPr>
      <w:tabs>
        <w:tab w:val="center" w:pos="4153"/>
        <w:tab w:val="right" w:pos="8306"/>
      </w:tabs>
      <w:snapToGrid w:val="0"/>
      <w:jc w:val="left"/>
    </w:pPr>
    <w:rPr>
      <w:kern w:val="0"/>
      <w:sz w:val="18"/>
      <w:szCs w:val="18"/>
    </w:rPr>
  </w:style>
  <w:style w:type="paragraph" w:styleId="7">
    <w:name w:val="header"/>
    <w:basedOn w:val="1"/>
    <w:link w:val="10"/>
    <w:semiHidden/>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10">
    <w:name w:val="页眉 Char"/>
    <w:basedOn w:val="9"/>
    <w:link w:val="7"/>
    <w:semiHidden/>
    <w:qFormat/>
    <w:uiPriority w:val="99"/>
    <w:rPr>
      <w:rFonts w:ascii="Calibri" w:hAnsi="Calibri" w:eastAsia="宋体" w:cs="Times New Roman"/>
      <w:kern w:val="0"/>
      <w:sz w:val="18"/>
      <w:szCs w:val="18"/>
    </w:rPr>
  </w:style>
  <w:style w:type="character" w:customStyle="1" w:styleId="11">
    <w:name w:val="页脚 Char"/>
    <w:basedOn w:val="9"/>
    <w:link w:val="6"/>
    <w:qFormat/>
    <w:uiPriority w:val="99"/>
    <w:rPr>
      <w:rFonts w:ascii="Calibri" w:hAnsi="Calibri" w:eastAsia="宋体" w:cs="Times New Roman"/>
      <w:kern w:val="0"/>
      <w:sz w:val="18"/>
      <w:szCs w:val="18"/>
    </w:rPr>
  </w:style>
  <w:style w:type="character" w:customStyle="1" w:styleId="12">
    <w:name w:val="批注框文本 Char"/>
    <w:basedOn w:val="9"/>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BEAF0-95F9-4799-8F0E-6F3DA3DFDC8B}">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4086</Words>
  <Characters>4502</Characters>
  <Lines>23</Lines>
  <Paragraphs>6</Paragraphs>
  <TotalTime>6</TotalTime>
  <ScaleCrop>false</ScaleCrop>
  <LinksUpToDate>false</LinksUpToDate>
  <CharactersWithSpaces>4695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2020-08-10T03:31:00Z</dcterms:created>
  <dc:creator>沈玉立</dc:creator>
  <cp:lastModifiedBy>张俊-Black</cp:lastModifiedBy>
  <dcterms:modified xsi:type="dcterms:W3CDTF">2023-06-13T07:44:16Z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36A887D8DC0E45509A3037DDD47B7A58_12</vt:lpwstr>
  </property>
</Properties>
</file>